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E6"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Position papers do not have any legal status in its own right.  Subject matters dealt with in position papers are identified for specific consideration and may be m</w:t>
      </w:r>
      <w:r w:rsidR="00207F9D" w:rsidRPr="008B29EC">
        <w:rPr>
          <w:rFonts w:ascii="Arial" w:hAnsi="Arial" w:cs="Arial"/>
          <w:color w:val="996600"/>
          <w:sz w:val="24"/>
          <w:szCs w:val="24"/>
          <w:lang w:val="en-GB" w:eastAsia="en-GB"/>
        </w:rPr>
        <w:t>atters controversial in nature.  A</w:t>
      </w:r>
      <w:r w:rsidRPr="008B29EC">
        <w:rPr>
          <w:rFonts w:ascii="Arial" w:hAnsi="Arial" w:cs="Arial"/>
          <w:color w:val="996600"/>
          <w:sz w:val="24"/>
          <w:szCs w:val="24"/>
          <w:lang w:val="en-GB" w:eastAsia="en-GB"/>
        </w:rPr>
        <w:t xml:space="preserve">ccounting treatment become relevant in order to achieve consistencies in classification throughout the local government sector.  </w:t>
      </w:r>
    </w:p>
    <w:p w:rsidR="008B29EC" w:rsidRPr="008B29EC" w:rsidRDefault="008B29EC"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2C6EE6"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 xml:space="preserve">Position papers need to be read together with the Project Summary Document as updated periodically by National Treasury.  </w:t>
      </w:r>
    </w:p>
    <w:p w:rsidR="008B29EC" w:rsidRPr="008B29EC" w:rsidRDefault="008B29EC"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2C6EE6"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 xml:space="preserve">Position papers DO NOT replace any National Treasury guidelines, circulars, practice notes or implementation guidelines.  </w:t>
      </w:r>
    </w:p>
    <w:p w:rsidR="008B29EC" w:rsidRPr="008B29EC" w:rsidRDefault="008B29EC"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8B29EC"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 xml:space="preserve">Position papers are prepared by the mSCOA Project Team based on information collected through the mSCOA Project Lifecycle.  Consultation with interested parties may be necessary in concluding on subject matters. </w:t>
      </w:r>
    </w:p>
    <w:p w:rsidR="002C6EE6" w:rsidRPr="008B29EC"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 xml:space="preserve"> </w:t>
      </w:r>
    </w:p>
    <w:p w:rsidR="002C6EE6"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 xml:space="preserve">Terminology applied in the position paper will be specifically defined for updating the Standard Terminology list as published on the National Treasury web as part of the </w:t>
      </w:r>
      <w:proofErr w:type="spellStart"/>
      <w:r w:rsidRPr="008B29EC">
        <w:rPr>
          <w:rFonts w:ascii="Arial" w:hAnsi="Arial" w:cs="Arial"/>
          <w:color w:val="996600"/>
          <w:sz w:val="24"/>
          <w:szCs w:val="24"/>
          <w:lang w:val="en-GB" w:eastAsia="en-GB"/>
        </w:rPr>
        <w:t>mSCOA</w:t>
      </w:r>
      <w:proofErr w:type="spellEnd"/>
      <w:r w:rsidRPr="008B29EC">
        <w:rPr>
          <w:rFonts w:ascii="Arial" w:hAnsi="Arial" w:cs="Arial"/>
          <w:color w:val="996600"/>
          <w:sz w:val="24"/>
          <w:szCs w:val="24"/>
          <w:lang w:val="en-GB" w:eastAsia="en-GB"/>
        </w:rPr>
        <w:t xml:space="preserve"> project documents.</w:t>
      </w:r>
    </w:p>
    <w:p w:rsidR="008B29EC" w:rsidRPr="008B29EC" w:rsidRDefault="008B29EC"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p>
    <w:p w:rsidR="008B29EC"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 xml:space="preserve">Frequently asked questions received are used as part of the basis for research to cross reference to the specific queries </w:t>
      </w:r>
      <w:r w:rsidR="00207F9D" w:rsidRPr="008B29EC">
        <w:rPr>
          <w:rFonts w:ascii="Arial" w:hAnsi="Arial" w:cs="Arial"/>
          <w:color w:val="996600"/>
          <w:sz w:val="24"/>
          <w:szCs w:val="24"/>
          <w:lang w:val="en-GB" w:eastAsia="en-GB"/>
        </w:rPr>
        <w:t xml:space="preserve">in order to </w:t>
      </w:r>
      <w:r w:rsidRPr="008B29EC">
        <w:rPr>
          <w:rFonts w:ascii="Arial" w:hAnsi="Arial" w:cs="Arial"/>
          <w:color w:val="996600"/>
          <w:sz w:val="24"/>
          <w:szCs w:val="24"/>
          <w:lang w:val="en-GB" w:eastAsia="en-GB"/>
        </w:rPr>
        <w:t xml:space="preserve">retain the completeness of this source of information. </w:t>
      </w:r>
    </w:p>
    <w:p w:rsidR="002C6EE6" w:rsidRPr="008B29EC"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 xml:space="preserve"> </w:t>
      </w:r>
    </w:p>
    <w:p w:rsidR="008B29EC" w:rsidRDefault="004214B0"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Position papers guide</w:t>
      </w:r>
      <w:r w:rsidR="002C6EE6" w:rsidRPr="008B29EC">
        <w:rPr>
          <w:rFonts w:ascii="Arial" w:hAnsi="Arial" w:cs="Arial"/>
          <w:color w:val="996600"/>
          <w:sz w:val="24"/>
          <w:szCs w:val="24"/>
          <w:lang w:val="en-GB" w:eastAsia="en-GB"/>
        </w:rPr>
        <w:t xml:space="preserve"> National Treasury </w:t>
      </w:r>
      <w:r w:rsidRPr="008B29EC">
        <w:rPr>
          <w:rFonts w:ascii="Arial" w:hAnsi="Arial" w:cs="Arial"/>
          <w:color w:val="996600"/>
          <w:sz w:val="24"/>
          <w:szCs w:val="24"/>
          <w:lang w:val="en-GB" w:eastAsia="en-GB"/>
        </w:rPr>
        <w:t xml:space="preserve">to reach conclusions </w:t>
      </w:r>
      <w:r w:rsidR="002C6EE6" w:rsidRPr="008B29EC">
        <w:rPr>
          <w:rFonts w:ascii="Arial" w:hAnsi="Arial" w:cs="Arial"/>
          <w:color w:val="996600"/>
          <w:sz w:val="24"/>
          <w:szCs w:val="24"/>
          <w:lang w:val="en-GB" w:eastAsia="en-GB"/>
        </w:rPr>
        <w:t xml:space="preserve">after </w:t>
      </w:r>
      <w:r w:rsidRPr="008B29EC">
        <w:rPr>
          <w:rFonts w:ascii="Arial" w:hAnsi="Arial" w:cs="Arial"/>
          <w:color w:val="996600"/>
          <w:sz w:val="24"/>
          <w:szCs w:val="24"/>
          <w:lang w:val="en-GB" w:eastAsia="en-GB"/>
        </w:rPr>
        <w:t xml:space="preserve">having engaged in </w:t>
      </w:r>
      <w:r w:rsidR="002C6EE6" w:rsidRPr="008B29EC">
        <w:rPr>
          <w:rFonts w:ascii="Arial" w:hAnsi="Arial" w:cs="Arial"/>
          <w:color w:val="996600"/>
          <w:sz w:val="24"/>
          <w:szCs w:val="24"/>
          <w:lang w:val="en-GB" w:eastAsia="en-GB"/>
        </w:rPr>
        <w:t xml:space="preserve">consultation as may be defined by the mSCOA Technical Work Group, and supplemented by the views of the mSCOA Project Steering Committee. </w:t>
      </w:r>
    </w:p>
    <w:p w:rsidR="002C6EE6" w:rsidRPr="008B29EC"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 xml:space="preserve"> </w:t>
      </w:r>
    </w:p>
    <w:p w:rsidR="002C6EE6" w:rsidRPr="008B29EC" w:rsidRDefault="002C6EE6"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pPr>
      <w:r w:rsidRPr="008B29EC">
        <w:rPr>
          <w:rFonts w:ascii="Arial" w:hAnsi="Arial" w:cs="Arial"/>
          <w:color w:val="996600"/>
          <w:sz w:val="24"/>
          <w:szCs w:val="24"/>
          <w:lang w:val="en-GB" w:eastAsia="en-GB"/>
        </w:rPr>
        <w:t>Recommendations to the mSCOA Project Steering Committee may include appropriate reference to any National Treasury documentation requiring review</w:t>
      </w:r>
      <w:r w:rsidR="00365235" w:rsidRPr="008B29EC">
        <w:rPr>
          <w:rFonts w:ascii="Arial" w:hAnsi="Arial" w:cs="Arial"/>
          <w:color w:val="996600"/>
          <w:sz w:val="24"/>
          <w:szCs w:val="24"/>
          <w:lang w:val="en-GB" w:eastAsia="en-GB"/>
        </w:rPr>
        <w:t>,</w:t>
      </w:r>
      <w:r w:rsidRPr="008B29EC">
        <w:rPr>
          <w:rFonts w:ascii="Arial" w:hAnsi="Arial" w:cs="Arial"/>
          <w:color w:val="996600"/>
          <w:sz w:val="24"/>
          <w:szCs w:val="24"/>
          <w:lang w:val="en-GB" w:eastAsia="en-GB"/>
        </w:rPr>
        <w:t xml:space="preserve"> following </w:t>
      </w:r>
      <w:r w:rsidR="00365235" w:rsidRPr="008B29EC">
        <w:rPr>
          <w:rFonts w:ascii="Arial" w:hAnsi="Arial" w:cs="Arial"/>
          <w:color w:val="996600"/>
          <w:sz w:val="24"/>
          <w:szCs w:val="24"/>
          <w:lang w:val="en-GB" w:eastAsia="en-GB"/>
        </w:rPr>
        <w:t xml:space="preserve">the </w:t>
      </w:r>
      <w:r w:rsidRPr="008B29EC">
        <w:rPr>
          <w:rFonts w:ascii="Arial" w:hAnsi="Arial" w:cs="Arial"/>
          <w:color w:val="996600"/>
          <w:sz w:val="24"/>
          <w:szCs w:val="24"/>
          <w:lang w:val="en-GB" w:eastAsia="en-GB"/>
        </w:rPr>
        <w:t>conclusion</w:t>
      </w:r>
      <w:r w:rsidR="00365235" w:rsidRPr="008B29EC">
        <w:rPr>
          <w:rFonts w:ascii="Arial" w:hAnsi="Arial" w:cs="Arial"/>
          <w:color w:val="996600"/>
          <w:sz w:val="24"/>
          <w:szCs w:val="24"/>
          <w:lang w:val="en-GB" w:eastAsia="en-GB"/>
        </w:rPr>
        <w:t>s reached</w:t>
      </w:r>
      <w:r w:rsidRPr="008B29EC">
        <w:rPr>
          <w:rFonts w:ascii="Arial" w:hAnsi="Arial" w:cs="Arial"/>
          <w:color w:val="996600"/>
          <w:sz w:val="24"/>
          <w:szCs w:val="24"/>
          <w:lang w:val="en-GB" w:eastAsia="en-GB"/>
        </w:rPr>
        <w:t xml:space="preserve"> on the position paper.</w:t>
      </w:r>
    </w:p>
    <w:p w:rsidR="00DE1BAB" w:rsidRPr="008B29EC" w:rsidRDefault="00DE1BAB" w:rsidP="008B29EC">
      <w:pPr>
        <w:pBdr>
          <w:top w:val="single" w:sz="18" w:space="1" w:color="BF8F00"/>
          <w:left w:val="single" w:sz="18" w:space="4" w:color="BF8F00"/>
          <w:bottom w:val="single" w:sz="18" w:space="1" w:color="BF8F00"/>
          <w:right w:val="single" w:sz="18" w:space="4" w:color="BF8F00"/>
        </w:pBdr>
        <w:spacing w:after="0" w:line="240" w:lineRule="auto"/>
        <w:jc w:val="both"/>
        <w:rPr>
          <w:rFonts w:ascii="Arial" w:hAnsi="Arial" w:cs="Arial"/>
          <w:color w:val="996600"/>
          <w:sz w:val="24"/>
          <w:szCs w:val="24"/>
          <w:lang w:val="en-GB" w:eastAsia="en-GB"/>
        </w:rPr>
        <w:sectPr w:rsidR="00DE1BAB" w:rsidRPr="008B29EC" w:rsidSect="008B29EC">
          <w:headerReference w:type="default" r:id="rId8"/>
          <w:footerReference w:type="default" r:id="rId9"/>
          <w:headerReference w:type="first" r:id="rId10"/>
          <w:pgSz w:w="11906" w:h="16838"/>
          <w:pgMar w:top="1201" w:right="1440" w:bottom="1440" w:left="1440" w:header="708" w:footer="708" w:gutter="0"/>
          <w:cols w:space="708"/>
          <w:titlePg/>
          <w:docGrid w:linePitch="360"/>
        </w:sectPr>
      </w:pPr>
    </w:p>
    <w:p w:rsidR="00E408EE" w:rsidRPr="008B29EC" w:rsidRDefault="00E408EE" w:rsidP="00FD1805">
      <w:pPr>
        <w:pStyle w:val="TOCHeading"/>
        <w:jc w:val="both"/>
        <w:rPr>
          <w:rFonts w:ascii="Arial" w:hAnsi="Arial" w:cs="Arial"/>
          <w:color w:val="auto"/>
          <w:sz w:val="24"/>
          <w:szCs w:val="24"/>
        </w:rPr>
      </w:pPr>
      <w:r w:rsidRPr="008B29EC">
        <w:rPr>
          <w:rFonts w:ascii="Arial" w:hAnsi="Arial" w:cs="Arial"/>
          <w:color w:val="auto"/>
          <w:sz w:val="24"/>
          <w:szCs w:val="24"/>
        </w:rPr>
        <w:lastRenderedPageBreak/>
        <w:t>Contents</w:t>
      </w:r>
    </w:p>
    <w:p w:rsidR="00DE1BAB" w:rsidRPr="00766B31" w:rsidRDefault="00DC0480" w:rsidP="00FD1805">
      <w:pPr>
        <w:pStyle w:val="TOC1"/>
        <w:jc w:val="both"/>
        <w:rPr>
          <w:noProof/>
          <w:sz w:val="22"/>
          <w:szCs w:val="22"/>
        </w:rPr>
      </w:pPr>
      <w:r>
        <w:fldChar w:fldCharType="begin"/>
      </w:r>
      <w:r w:rsidR="00E408EE">
        <w:instrText xml:space="preserve"> TOC \o "1-3" \h \z \u </w:instrText>
      </w:r>
      <w:r>
        <w:fldChar w:fldCharType="separate"/>
      </w:r>
      <w:hyperlink w:anchor="_Toc456597820" w:history="1">
        <w:r w:rsidR="00DE1BAB" w:rsidRPr="008D3BB2">
          <w:rPr>
            <w:rStyle w:val="Hyperlink"/>
            <w:noProof/>
            <w:sz w:val="22"/>
            <w:szCs w:val="22"/>
          </w:rPr>
          <w:t>BACKGROUND</w:t>
        </w:r>
        <w:r w:rsidR="00DE1BAB" w:rsidRPr="008D3BB2">
          <w:rPr>
            <w:noProof/>
            <w:webHidden/>
            <w:sz w:val="22"/>
            <w:szCs w:val="22"/>
          </w:rPr>
          <w:tab/>
        </w:r>
        <w:r w:rsidR="00DE1BAB" w:rsidRPr="008D3BB2">
          <w:rPr>
            <w:noProof/>
            <w:webHidden/>
            <w:sz w:val="22"/>
            <w:szCs w:val="22"/>
          </w:rPr>
          <w:fldChar w:fldCharType="begin"/>
        </w:r>
        <w:r w:rsidR="00DE1BAB" w:rsidRPr="008D3BB2">
          <w:rPr>
            <w:noProof/>
            <w:webHidden/>
            <w:sz w:val="22"/>
            <w:szCs w:val="22"/>
          </w:rPr>
          <w:instrText xml:space="preserve"> PAGEREF _Toc456597820 \h </w:instrText>
        </w:r>
        <w:r w:rsidR="00DE1BAB" w:rsidRPr="008D3BB2">
          <w:rPr>
            <w:noProof/>
            <w:webHidden/>
            <w:sz w:val="22"/>
            <w:szCs w:val="22"/>
          </w:rPr>
        </w:r>
        <w:r w:rsidR="00DE1BAB" w:rsidRPr="008D3BB2">
          <w:rPr>
            <w:noProof/>
            <w:webHidden/>
            <w:sz w:val="22"/>
            <w:szCs w:val="22"/>
          </w:rPr>
          <w:fldChar w:fldCharType="separate"/>
        </w:r>
        <w:r w:rsidR="008B29EC">
          <w:rPr>
            <w:noProof/>
            <w:webHidden/>
            <w:sz w:val="22"/>
            <w:szCs w:val="22"/>
          </w:rPr>
          <w:t>3</w:t>
        </w:r>
        <w:r w:rsidR="00DE1BAB" w:rsidRPr="008D3BB2">
          <w:rPr>
            <w:noProof/>
            <w:webHidden/>
            <w:sz w:val="22"/>
            <w:szCs w:val="22"/>
          </w:rPr>
          <w:fldChar w:fldCharType="end"/>
        </w:r>
      </w:hyperlink>
    </w:p>
    <w:p w:rsidR="00DE1BAB" w:rsidRPr="00766B31" w:rsidRDefault="004F721B" w:rsidP="00FD1805">
      <w:pPr>
        <w:pStyle w:val="TOC1"/>
        <w:jc w:val="both"/>
        <w:rPr>
          <w:noProof/>
          <w:sz w:val="22"/>
          <w:szCs w:val="22"/>
        </w:rPr>
      </w:pPr>
      <w:hyperlink w:anchor="_Toc456597821" w:history="1">
        <w:r w:rsidR="00DE1BAB" w:rsidRPr="008D3BB2">
          <w:rPr>
            <w:rStyle w:val="Hyperlink"/>
            <w:noProof/>
            <w:sz w:val="22"/>
            <w:szCs w:val="22"/>
          </w:rPr>
          <w:t>THE PROBLEM STATEMENT</w:t>
        </w:r>
        <w:r w:rsidR="00DE1BAB" w:rsidRPr="008D3BB2">
          <w:rPr>
            <w:noProof/>
            <w:webHidden/>
            <w:sz w:val="22"/>
            <w:szCs w:val="22"/>
          </w:rPr>
          <w:tab/>
        </w:r>
        <w:r w:rsidR="00DE1BAB" w:rsidRPr="008D3BB2">
          <w:rPr>
            <w:noProof/>
            <w:webHidden/>
            <w:sz w:val="22"/>
            <w:szCs w:val="22"/>
          </w:rPr>
          <w:fldChar w:fldCharType="begin"/>
        </w:r>
        <w:r w:rsidR="00DE1BAB" w:rsidRPr="008D3BB2">
          <w:rPr>
            <w:noProof/>
            <w:webHidden/>
            <w:sz w:val="22"/>
            <w:szCs w:val="22"/>
          </w:rPr>
          <w:instrText xml:space="preserve"> PAGEREF _Toc456597821 \h </w:instrText>
        </w:r>
        <w:r w:rsidR="00DE1BAB" w:rsidRPr="008D3BB2">
          <w:rPr>
            <w:noProof/>
            <w:webHidden/>
            <w:sz w:val="22"/>
            <w:szCs w:val="22"/>
          </w:rPr>
        </w:r>
        <w:r w:rsidR="00DE1BAB" w:rsidRPr="008D3BB2">
          <w:rPr>
            <w:noProof/>
            <w:webHidden/>
            <w:sz w:val="22"/>
            <w:szCs w:val="22"/>
          </w:rPr>
          <w:fldChar w:fldCharType="separate"/>
        </w:r>
        <w:r w:rsidR="008B29EC">
          <w:rPr>
            <w:noProof/>
            <w:webHidden/>
            <w:sz w:val="22"/>
            <w:szCs w:val="22"/>
          </w:rPr>
          <w:t>3</w:t>
        </w:r>
        <w:r w:rsidR="00DE1BAB" w:rsidRPr="008D3BB2">
          <w:rPr>
            <w:noProof/>
            <w:webHidden/>
            <w:sz w:val="22"/>
            <w:szCs w:val="22"/>
          </w:rPr>
          <w:fldChar w:fldCharType="end"/>
        </w:r>
      </w:hyperlink>
    </w:p>
    <w:p w:rsidR="00DE1BAB" w:rsidRPr="00766B31" w:rsidRDefault="004F721B" w:rsidP="00FD1805">
      <w:pPr>
        <w:pStyle w:val="TOC1"/>
        <w:jc w:val="both"/>
        <w:rPr>
          <w:noProof/>
          <w:sz w:val="22"/>
          <w:szCs w:val="22"/>
        </w:rPr>
      </w:pPr>
      <w:hyperlink w:anchor="_Toc456597822" w:history="1">
        <w:r w:rsidR="00DE1BAB" w:rsidRPr="008D3BB2">
          <w:rPr>
            <w:rStyle w:val="Hyperlink"/>
            <w:noProof/>
            <w:sz w:val="22"/>
            <w:szCs w:val="22"/>
          </w:rPr>
          <w:t>LEGISLATIVE AND ACCOUNTING STANDARDS</w:t>
        </w:r>
        <w:r w:rsidR="00DE1BAB" w:rsidRPr="008D3BB2">
          <w:rPr>
            <w:noProof/>
            <w:webHidden/>
            <w:sz w:val="22"/>
            <w:szCs w:val="22"/>
          </w:rPr>
          <w:tab/>
        </w:r>
        <w:r w:rsidR="00DE1BAB" w:rsidRPr="008D3BB2">
          <w:rPr>
            <w:noProof/>
            <w:webHidden/>
            <w:sz w:val="22"/>
            <w:szCs w:val="22"/>
          </w:rPr>
          <w:fldChar w:fldCharType="begin"/>
        </w:r>
        <w:r w:rsidR="00DE1BAB" w:rsidRPr="008D3BB2">
          <w:rPr>
            <w:noProof/>
            <w:webHidden/>
            <w:sz w:val="22"/>
            <w:szCs w:val="22"/>
          </w:rPr>
          <w:instrText xml:space="preserve"> PAGEREF _Toc456597822 \h </w:instrText>
        </w:r>
        <w:r w:rsidR="00DE1BAB" w:rsidRPr="008D3BB2">
          <w:rPr>
            <w:noProof/>
            <w:webHidden/>
            <w:sz w:val="22"/>
            <w:szCs w:val="22"/>
          </w:rPr>
        </w:r>
        <w:r w:rsidR="00DE1BAB" w:rsidRPr="008D3BB2">
          <w:rPr>
            <w:noProof/>
            <w:webHidden/>
            <w:sz w:val="22"/>
            <w:szCs w:val="22"/>
          </w:rPr>
          <w:fldChar w:fldCharType="separate"/>
        </w:r>
        <w:r w:rsidR="008B29EC">
          <w:rPr>
            <w:noProof/>
            <w:webHidden/>
            <w:sz w:val="22"/>
            <w:szCs w:val="22"/>
          </w:rPr>
          <w:t>3</w:t>
        </w:r>
        <w:r w:rsidR="00DE1BAB" w:rsidRPr="008D3BB2">
          <w:rPr>
            <w:noProof/>
            <w:webHidden/>
            <w:sz w:val="22"/>
            <w:szCs w:val="22"/>
          </w:rPr>
          <w:fldChar w:fldCharType="end"/>
        </w:r>
      </w:hyperlink>
    </w:p>
    <w:p w:rsidR="00DE1BAB" w:rsidRPr="00766B31" w:rsidRDefault="004F721B" w:rsidP="00FD1805">
      <w:pPr>
        <w:pStyle w:val="TOC2"/>
        <w:jc w:val="both"/>
        <w:rPr>
          <w:noProof/>
        </w:rPr>
      </w:pPr>
      <w:hyperlink w:anchor="_Toc456597823" w:history="1">
        <w:r w:rsidR="00DE1BAB" w:rsidRPr="00766B31">
          <w:rPr>
            <w:rStyle w:val="Hyperlink"/>
            <w:noProof/>
          </w:rPr>
          <w:t>Legislation</w:t>
        </w:r>
        <w:r w:rsidR="00DE1BAB" w:rsidRPr="00766B31">
          <w:rPr>
            <w:noProof/>
            <w:webHidden/>
          </w:rPr>
          <w:tab/>
        </w:r>
        <w:r w:rsidR="00DE1BAB" w:rsidRPr="00766B31">
          <w:rPr>
            <w:noProof/>
            <w:webHidden/>
          </w:rPr>
          <w:fldChar w:fldCharType="begin"/>
        </w:r>
        <w:r w:rsidR="00DE1BAB" w:rsidRPr="00766B31">
          <w:rPr>
            <w:noProof/>
            <w:webHidden/>
          </w:rPr>
          <w:instrText xml:space="preserve"> PAGEREF _Toc456597823 \h </w:instrText>
        </w:r>
        <w:r w:rsidR="00DE1BAB" w:rsidRPr="00766B31">
          <w:rPr>
            <w:noProof/>
            <w:webHidden/>
          </w:rPr>
        </w:r>
        <w:r w:rsidR="00DE1BAB" w:rsidRPr="00766B31">
          <w:rPr>
            <w:noProof/>
            <w:webHidden/>
          </w:rPr>
          <w:fldChar w:fldCharType="separate"/>
        </w:r>
        <w:r w:rsidR="008B29EC">
          <w:rPr>
            <w:noProof/>
            <w:webHidden/>
          </w:rPr>
          <w:t>3</w:t>
        </w:r>
        <w:r w:rsidR="00DE1BAB" w:rsidRPr="00766B31">
          <w:rPr>
            <w:noProof/>
            <w:webHidden/>
          </w:rPr>
          <w:fldChar w:fldCharType="end"/>
        </w:r>
      </w:hyperlink>
    </w:p>
    <w:p w:rsidR="00DE1BAB" w:rsidRPr="00766B31" w:rsidRDefault="004F721B" w:rsidP="00FD1805">
      <w:pPr>
        <w:pStyle w:val="TOC2"/>
        <w:jc w:val="both"/>
        <w:rPr>
          <w:noProof/>
        </w:rPr>
      </w:pPr>
      <w:hyperlink w:anchor="_Toc456597824" w:history="1">
        <w:r w:rsidR="00DE1BAB" w:rsidRPr="00766B31">
          <w:rPr>
            <w:rStyle w:val="Hyperlink"/>
            <w:noProof/>
          </w:rPr>
          <w:t>Standards of GRAP references</w:t>
        </w:r>
        <w:r w:rsidR="00DE1BAB" w:rsidRPr="00766B31">
          <w:rPr>
            <w:noProof/>
            <w:webHidden/>
          </w:rPr>
          <w:tab/>
        </w:r>
        <w:r w:rsidR="00DE1BAB" w:rsidRPr="00766B31">
          <w:rPr>
            <w:noProof/>
            <w:webHidden/>
          </w:rPr>
          <w:fldChar w:fldCharType="begin"/>
        </w:r>
        <w:r w:rsidR="00DE1BAB" w:rsidRPr="00766B31">
          <w:rPr>
            <w:noProof/>
            <w:webHidden/>
          </w:rPr>
          <w:instrText xml:space="preserve"> PAGEREF _Toc456597824 \h </w:instrText>
        </w:r>
        <w:r w:rsidR="00DE1BAB" w:rsidRPr="00766B31">
          <w:rPr>
            <w:noProof/>
            <w:webHidden/>
          </w:rPr>
        </w:r>
        <w:r w:rsidR="00DE1BAB" w:rsidRPr="00766B31">
          <w:rPr>
            <w:noProof/>
            <w:webHidden/>
          </w:rPr>
          <w:fldChar w:fldCharType="separate"/>
        </w:r>
        <w:r w:rsidR="008B29EC">
          <w:rPr>
            <w:noProof/>
            <w:webHidden/>
          </w:rPr>
          <w:t>4</w:t>
        </w:r>
        <w:r w:rsidR="00DE1BAB" w:rsidRPr="00766B31">
          <w:rPr>
            <w:noProof/>
            <w:webHidden/>
          </w:rPr>
          <w:fldChar w:fldCharType="end"/>
        </w:r>
      </w:hyperlink>
    </w:p>
    <w:p w:rsidR="00DE1BAB" w:rsidRPr="00766B31" w:rsidRDefault="004F721B" w:rsidP="00FD1805">
      <w:pPr>
        <w:pStyle w:val="TOC2"/>
        <w:jc w:val="both"/>
        <w:rPr>
          <w:noProof/>
        </w:rPr>
      </w:pPr>
      <w:hyperlink w:anchor="_Toc456597825" w:history="1">
        <w:r w:rsidR="00DE1BAB" w:rsidRPr="00766B31">
          <w:rPr>
            <w:rStyle w:val="Hyperlink"/>
            <w:noProof/>
          </w:rPr>
          <w:t>ASB Frequently Asked Questions</w:t>
        </w:r>
        <w:r w:rsidR="00DE1BAB" w:rsidRPr="00766B31">
          <w:rPr>
            <w:noProof/>
            <w:webHidden/>
          </w:rPr>
          <w:tab/>
        </w:r>
        <w:r w:rsidR="00DE1BAB" w:rsidRPr="00766B31">
          <w:rPr>
            <w:noProof/>
            <w:webHidden/>
          </w:rPr>
          <w:fldChar w:fldCharType="begin"/>
        </w:r>
        <w:r w:rsidR="00DE1BAB" w:rsidRPr="00766B31">
          <w:rPr>
            <w:noProof/>
            <w:webHidden/>
          </w:rPr>
          <w:instrText xml:space="preserve"> PAGEREF _Toc456597825 \h </w:instrText>
        </w:r>
        <w:r w:rsidR="00DE1BAB" w:rsidRPr="00766B31">
          <w:rPr>
            <w:noProof/>
            <w:webHidden/>
          </w:rPr>
        </w:r>
        <w:r w:rsidR="00DE1BAB" w:rsidRPr="00766B31">
          <w:rPr>
            <w:noProof/>
            <w:webHidden/>
          </w:rPr>
          <w:fldChar w:fldCharType="separate"/>
        </w:r>
        <w:r w:rsidR="008B29EC">
          <w:rPr>
            <w:noProof/>
            <w:webHidden/>
          </w:rPr>
          <w:t>4</w:t>
        </w:r>
        <w:r w:rsidR="00DE1BAB" w:rsidRPr="00766B31">
          <w:rPr>
            <w:noProof/>
            <w:webHidden/>
          </w:rPr>
          <w:fldChar w:fldCharType="end"/>
        </w:r>
      </w:hyperlink>
    </w:p>
    <w:p w:rsidR="00DE1BAB" w:rsidRPr="00766B31" w:rsidRDefault="004F721B" w:rsidP="00FD1805">
      <w:pPr>
        <w:pStyle w:val="TOC1"/>
        <w:jc w:val="both"/>
        <w:rPr>
          <w:noProof/>
          <w:sz w:val="22"/>
          <w:szCs w:val="22"/>
        </w:rPr>
      </w:pPr>
      <w:hyperlink w:anchor="_Toc456597826" w:history="1">
        <w:r w:rsidR="00DE1BAB" w:rsidRPr="008D3BB2">
          <w:rPr>
            <w:rStyle w:val="Hyperlink"/>
            <w:noProof/>
            <w:sz w:val="22"/>
            <w:szCs w:val="22"/>
          </w:rPr>
          <w:t>POSITION OF mSCOA</w:t>
        </w:r>
        <w:r w:rsidR="00DE1BAB" w:rsidRPr="008D3BB2">
          <w:rPr>
            <w:noProof/>
            <w:webHidden/>
            <w:sz w:val="22"/>
            <w:szCs w:val="22"/>
          </w:rPr>
          <w:tab/>
        </w:r>
        <w:r w:rsidR="00DE1BAB" w:rsidRPr="008D3BB2">
          <w:rPr>
            <w:noProof/>
            <w:webHidden/>
            <w:sz w:val="22"/>
            <w:szCs w:val="22"/>
          </w:rPr>
          <w:fldChar w:fldCharType="begin"/>
        </w:r>
        <w:r w:rsidR="00DE1BAB" w:rsidRPr="008D3BB2">
          <w:rPr>
            <w:noProof/>
            <w:webHidden/>
            <w:sz w:val="22"/>
            <w:szCs w:val="22"/>
          </w:rPr>
          <w:instrText xml:space="preserve"> PAGEREF _Toc456597826 \h </w:instrText>
        </w:r>
        <w:r w:rsidR="00DE1BAB" w:rsidRPr="008D3BB2">
          <w:rPr>
            <w:noProof/>
            <w:webHidden/>
            <w:sz w:val="22"/>
            <w:szCs w:val="22"/>
          </w:rPr>
        </w:r>
        <w:r w:rsidR="00DE1BAB" w:rsidRPr="008D3BB2">
          <w:rPr>
            <w:noProof/>
            <w:webHidden/>
            <w:sz w:val="22"/>
            <w:szCs w:val="22"/>
          </w:rPr>
          <w:fldChar w:fldCharType="separate"/>
        </w:r>
        <w:r w:rsidR="008B29EC">
          <w:rPr>
            <w:noProof/>
            <w:webHidden/>
            <w:sz w:val="22"/>
            <w:szCs w:val="22"/>
          </w:rPr>
          <w:t>8</w:t>
        </w:r>
        <w:r w:rsidR="00DE1BAB" w:rsidRPr="008D3BB2">
          <w:rPr>
            <w:noProof/>
            <w:webHidden/>
            <w:sz w:val="22"/>
            <w:szCs w:val="22"/>
          </w:rPr>
          <w:fldChar w:fldCharType="end"/>
        </w:r>
      </w:hyperlink>
    </w:p>
    <w:p w:rsidR="00DE1BAB" w:rsidRPr="00766B31" w:rsidRDefault="004F721B" w:rsidP="00FD1805">
      <w:pPr>
        <w:pStyle w:val="TOC1"/>
        <w:jc w:val="both"/>
        <w:rPr>
          <w:noProof/>
          <w:sz w:val="22"/>
          <w:szCs w:val="22"/>
        </w:rPr>
      </w:pPr>
      <w:hyperlink w:anchor="_Toc456597827" w:history="1">
        <w:r w:rsidR="00DE1BAB" w:rsidRPr="008D3BB2">
          <w:rPr>
            <w:rStyle w:val="Hyperlink"/>
            <w:noProof/>
            <w:sz w:val="22"/>
            <w:szCs w:val="22"/>
          </w:rPr>
          <w:t>NATIONAL TREASURY DOCUMENTS TO BE REVISED FOLLOWING THE ADOPTION OF THIS POSITION PAPER</w:t>
        </w:r>
        <w:r w:rsidR="00DE1BAB" w:rsidRPr="008D3BB2">
          <w:rPr>
            <w:noProof/>
            <w:webHidden/>
            <w:sz w:val="22"/>
            <w:szCs w:val="22"/>
          </w:rPr>
          <w:tab/>
        </w:r>
        <w:r w:rsidR="00DE1BAB" w:rsidRPr="008D3BB2">
          <w:rPr>
            <w:noProof/>
            <w:webHidden/>
            <w:sz w:val="22"/>
            <w:szCs w:val="22"/>
          </w:rPr>
          <w:fldChar w:fldCharType="begin"/>
        </w:r>
        <w:r w:rsidR="00DE1BAB" w:rsidRPr="008D3BB2">
          <w:rPr>
            <w:noProof/>
            <w:webHidden/>
            <w:sz w:val="22"/>
            <w:szCs w:val="22"/>
          </w:rPr>
          <w:instrText xml:space="preserve"> PAGEREF _Toc456597827 \h </w:instrText>
        </w:r>
        <w:r w:rsidR="00DE1BAB" w:rsidRPr="008D3BB2">
          <w:rPr>
            <w:noProof/>
            <w:webHidden/>
            <w:sz w:val="22"/>
            <w:szCs w:val="22"/>
          </w:rPr>
        </w:r>
        <w:r w:rsidR="00DE1BAB" w:rsidRPr="008D3BB2">
          <w:rPr>
            <w:noProof/>
            <w:webHidden/>
            <w:sz w:val="22"/>
            <w:szCs w:val="22"/>
          </w:rPr>
          <w:fldChar w:fldCharType="separate"/>
        </w:r>
        <w:r w:rsidR="008B29EC">
          <w:rPr>
            <w:noProof/>
            <w:webHidden/>
            <w:sz w:val="22"/>
            <w:szCs w:val="22"/>
          </w:rPr>
          <w:t>8</w:t>
        </w:r>
        <w:r w:rsidR="00DE1BAB" w:rsidRPr="008D3BB2">
          <w:rPr>
            <w:noProof/>
            <w:webHidden/>
            <w:sz w:val="22"/>
            <w:szCs w:val="22"/>
          </w:rPr>
          <w:fldChar w:fldCharType="end"/>
        </w:r>
      </w:hyperlink>
    </w:p>
    <w:p w:rsidR="00DE1BAB" w:rsidRPr="00766B31" w:rsidRDefault="004F721B" w:rsidP="00FD1805">
      <w:pPr>
        <w:pStyle w:val="TOC2"/>
        <w:jc w:val="both"/>
        <w:rPr>
          <w:noProof/>
        </w:rPr>
      </w:pPr>
      <w:hyperlink w:anchor="_Toc456597828" w:history="1">
        <w:r w:rsidR="00DE1BAB" w:rsidRPr="00766B31">
          <w:rPr>
            <w:rStyle w:val="Hyperlink"/>
            <w:noProof/>
          </w:rPr>
          <w:t>Standards of GRAP Implementation Guide – GRAP 23 on Revenue from Non-exchange Transactions</w:t>
        </w:r>
        <w:r w:rsidR="00DE1BAB" w:rsidRPr="00766B31">
          <w:rPr>
            <w:noProof/>
            <w:webHidden/>
          </w:rPr>
          <w:tab/>
        </w:r>
        <w:r w:rsidR="00DE1BAB" w:rsidRPr="00766B31">
          <w:rPr>
            <w:noProof/>
            <w:webHidden/>
          </w:rPr>
          <w:fldChar w:fldCharType="begin"/>
        </w:r>
        <w:r w:rsidR="00DE1BAB" w:rsidRPr="00766B31">
          <w:rPr>
            <w:noProof/>
            <w:webHidden/>
          </w:rPr>
          <w:instrText xml:space="preserve"> PAGEREF _Toc456597828 \h </w:instrText>
        </w:r>
        <w:r w:rsidR="00DE1BAB" w:rsidRPr="00766B31">
          <w:rPr>
            <w:noProof/>
            <w:webHidden/>
          </w:rPr>
        </w:r>
        <w:r w:rsidR="00DE1BAB" w:rsidRPr="00766B31">
          <w:rPr>
            <w:noProof/>
            <w:webHidden/>
          </w:rPr>
          <w:fldChar w:fldCharType="separate"/>
        </w:r>
        <w:r w:rsidR="008B29EC">
          <w:rPr>
            <w:noProof/>
            <w:webHidden/>
          </w:rPr>
          <w:t>8</w:t>
        </w:r>
        <w:r w:rsidR="00DE1BAB" w:rsidRPr="00766B31">
          <w:rPr>
            <w:noProof/>
            <w:webHidden/>
          </w:rPr>
          <w:fldChar w:fldCharType="end"/>
        </w:r>
      </w:hyperlink>
    </w:p>
    <w:p w:rsidR="00DE1BAB" w:rsidRPr="00766B31" w:rsidRDefault="004F721B" w:rsidP="00FD1805">
      <w:pPr>
        <w:pStyle w:val="TOC2"/>
        <w:jc w:val="both"/>
        <w:rPr>
          <w:noProof/>
        </w:rPr>
      </w:pPr>
      <w:hyperlink w:anchor="_Toc456597829" w:history="1">
        <w:r w:rsidR="00DE1BAB" w:rsidRPr="00766B31">
          <w:rPr>
            <w:rStyle w:val="Hyperlink"/>
            <w:noProof/>
          </w:rPr>
          <w:t>Budget Reporting Tables, In-year Reporting and Illustrated Financial Statements</w:t>
        </w:r>
        <w:r w:rsidR="00DE1BAB" w:rsidRPr="00766B31">
          <w:rPr>
            <w:noProof/>
            <w:webHidden/>
          </w:rPr>
          <w:tab/>
        </w:r>
        <w:r w:rsidR="00DE1BAB" w:rsidRPr="00766B31">
          <w:rPr>
            <w:noProof/>
            <w:webHidden/>
          </w:rPr>
          <w:fldChar w:fldCharType="begin"/>
        </w:r>
        <w:r w:rsidR="00DE1BAB" w:rsidRPr="00766B31">
          <w:rPr>
            <w:noProof/>
            <w:webHidden/>
          </w:rPr>
          <w:instrText xml:space="preserve"> PAGEREF _Toc456597829 \h </w:instrText>
        </w:r>
        <w:r w:rsidR="00DE1BAB" w:rsidRPr="00766B31">
          <w:rPr>
            <w:noProof/>
            <w:webHidden/>
          </w:rPr>
        </w:r>
        <w:r w:rsidR="00DE1BAB" w:rsidRPr="00766B31">
          <w:rPr>
            <w:noProof/>
            <w:webHidden/>
          </w:rPr>
          <w:fldChar w:fldCharType="separate"/>
        </w:r>
        <w:r w:rsidR="008B29EC">
          <w:rPr>
            <w:noProof/>
            <w:webHidden/>
          </w:rPr>
          <w:t>8</w:t>
        </w:r>
        <w:r w:rsidR="00DE1BAB" w:rsidRPr="00766B31">
          <w:rPr>
            <w:noProof/>
            <w:webHidden/>
          </w:rPr>
          <w:fldChar w:fldCharType="end"/>
        </w:r>
      </w:hyperlink>
    </w:p>
    <w:p w:rsidR="00DE1BAB" w:rsidRPr="00766B31" w:rsidRDefault="004F721B" w:rsidP="00FD1805">
      <w:pPr>
        <w:pStyle w:val="TOC1"/>
        <w:jc w:val="both"/>
        <w:rPr>
          <w:noProof/>
          <w:sz w:val="22"/>
          <w:szCs w:val="22"/>
        </w:rPr>
      </w:pPr>
      <w:hyperlink w:anchor="_Toc456597830" w:history="1">
        <w:r w:rsidR="00DE1BAB" w:rsidRPr="008D3BB2">
          <w:rPr>
            <w:rStyle w:val="Hyperlink"/>
            <w:noProof/>
            <w:sz w:val="22"/>
            <w:szCs w:val="22"/>
          </w:rPr>
          <w:t xml:space="preserve">CONCLUSION </w:t>
        </w:r>
        <w:r w:rsidR="00DE1BAB" w:rsidRPr="008D3BB2">
          <w:rPr>
            <w:noProof/>
            <w:webHidden/>
            <w:sz w:val="22"/>
            <w:szCs w:val="22"/>
          </w:rPr>
          <w:tab/>
        </w:r>
        <w:r w:rsidR="00DE1BAB" w:rsidRPr="008D3BB2">
          <w:rPr>
            <w:noProof/>
            <w:webHidden/>
            <w:sz w:val="22"/>
            <w:szCs w:val="22"/>
          </w:rPr>
          <w:fldChar w:fldCharType="begin"/>
        </w:r>
        <w:r w:rsidR="00DE1BAB" w:rsidRPr="008D3BB2">
          <w:rPr>
            <w:noProof/>
            <w:webHidden/>
            <w:sz w:val="22"/>
            <w:szCs w:val="22"/>
          </w:rPr>
          <w:instrText xml:space="preserve"> PAGEREF _Toc456597830 \h </w:instrText>
        </w:r>
        <w:r w:rsidR="00DE1BAB" w:rsidRPr="008D3BB2">
          <w:rPr>
            <w:noProof/>
            <w:webHidden/>
            <w:sz w:val="22"/>
            <w:szCs w:val="22"/>
          </w:rPr>
        </w:r>
        <w:r w:rsidR="00DE1BAB" w:rsidRPr="008D3BB2">
          <w:rPr>
            <w:noProof/>
            <w:webHidden/>
            <w:sz w:val="22"/>
            <w:szCs w:val="22"/>
          </w:rPr>
          <w:fldChar w:fldCharType="separate"/>
        </w:r>
        <w:r w:rsidR="008B29EC">
          <w:rPr>
            <w:noProof/>
            <w:webHidden/>
            <w:sz w:val="22"/>
            <w:szCs w:val="22"/>
          </w:rPr>
          <w:t>9</w:t>
        </w:r>
        <w:r w:rsidR="00DE1BAB" w:rsidRPr="008D3BB2">
          <w:rPr>
            <w:noProof/>
            <w:webHidden/>
            <w:sz w:val="22"/>
            <w:szCs w:val="22"/>
          </w:rPr>
          <w:fldChar w:fldCharType="end"/>
        </w:r>
      </w:hyperlink>
    </w:p>
    <w:p w:rsidR="00DE1BAB" w:rsidRPr="00766B31" w:rsidRDefault="004F721B" w:rsidP="00FD1805">
      <w:pPr>
        <w:pStyle w:val="TOC1"/>
        <w:jc w:val="both"/>
        <w:rPr>
          <w:noProof/>
          <w:sz w:val="22"/>
          <w:szCs w:val="22"/>
        </w:rPr>
      </w:pPr>
      <w:hyperlink w:anchor="_Toc456597831" w:history="1">
        <w:r w:rsidR="00DE1BAB" w:rsidRPr="008D3BB2">
          <w:rPr>
            <w:rStyle w:val="Hyperlink"/>
            <w:noProof/>
            <w:sz w:val="22"/>
            <w:szCs w:val="22"/>
          </w:rPr>
          <w:t xml:space="preserve">RECOMMENDATION </w:t>
        </w:r>
        <w:r w:rsidR="00DE1BAB" w:rsidRPr="008D3BB2">
          <w:rPr>
            <w:noProof/>
            <w:webHidden/>
            <w:sz w:val="22"/>
            <w:szCs w:val="22"/>
          </w:rPr>
          <w:tab/>
        </w:r>
        <w:r w:rsidR="00DE1BAB" w:rsidRPr="008D3BB2">
          <w:rPr>
            <w:noProof/>
            <w:webHidden/>
            <w:sz w:val="22"/>
            <w:szCs w:val="22"/>
          </w:rPr>
          <w:fldChar w:fldCharType="begin"/>
        </w:r>
        <w:r w:rsidR="00DE1BAB" w:rsidRPr="008D3BB2">
          <w:rPr>
            <w:noProof/>
            <w:webHidden/>
            <w:sz w:val="22"/>
            <w:szCs w:val="22"/>
          </w:rPr>
          <w:instrText xml:space="preserve"> PAGEREF _Toc456597831 \h </w:instrText>
        </w:r>
        <w:r w:rsidR="00DE1BAB" w:rsidRPr="008D3BB2">
          <w:rPr>
            <w:noProof/>
            <w:webHidden/>
            <w:sz w:val="22"/>
            <w:szCs w:val="22"/>
          </w:rPr>
        </w:r>
        <w:r w:rsidR="00DE1BAB" w:rsidRPr="008D3BB2">
          <w:rPr>
            <w:noProof/>
            <w:webHidden/>
            <w:sz w:val="22"/>
            <w:szCs w:val="22"/>
          </w:rPr>
          <w:fldChar w:fldCharType="separate"/>
        </w:r>
        <w:r w:rsidR="008B29EC">
          <w:rPr>
            <w:noProof/>
            <w:webHidden/>
            <w:sz w:val="22"/>
            <w:szCs w:val="22"/>
          </w:rPr>
          <w:t>9</w:t>
        </w:r>
        <w:r w:rsidR="00DE1BAB" w:rsidRPr="008D3BB2">
          <w:rPr>
            <w:noProof/>
            <w:webHidden/>
            <w:sz w:val="22"/>
            <w:szCs w:val="22"/>
          </w:rPr>
          <w:fldChar w:fldCharType="end"/>
        </w:r>
      </w:hyperlink>
    </w:p>
    <w:p w:rsidR="00DE1BAB" w:rsidRDefault="004F721B" w:rsidP="00FD1805">
      <w:pPr>
        <w:pStyle w:val="TOC1"/>
        <w:jc w:val="both"/>
        <w:rPr>
          <w:noProof/>
          <w:sz w:val="22"/>
          <w:szCs w:val="22"/>
        </w:rPr>
      </w:pPr>
      <w:hyperlink w:anchor="_Toc456597832" w:history="1">
        <w:r w:rsidR="00DE1BAB" w:rsidRPr="008D3BB2">
          <w:rPr>
            <w:rStyle w:val="Hyperlink"/>
            <w:noProof/>
            <w:sz w:val="22"/>
            <w:szCs w:val="22"/>
          </w:rPr>
          <w:t>ANNEXURE A: COMMENTS AND QUERIES RECEIVED INFORMING THE PROBLEM STATEMENT</w:t>
        </w:r>
        <w:r w:rsidR="00DE1BAB" w:rsidRPr="008D3BB2">
          <w:rPr>
            <w:noProof/>
            <w:webHidden/>
            <w:sz w:val="22"/>
            <w:szCs w:val="22"/>
          </w:rPr>
          <w:tab/>
        </w:r>
        <w:r w:rsidR="00DE1BAB" w:rsidRPr="008D3BB2">
          <w:rPr>
            <w:noProof/>
            <w:webHidden/>
            <w:sz w:val="22"/>
            <w:szCs w:val="22"/>
          </w:rPr>
          <w:fldChar w:fldCharType="begin"/>
        </w:r>
        <w:r w:rsidR="00DE1BAB" w:rsidRPr="008D3BB2">
          <w:rPr>
            <w:noProof/>
            <w:webHidden/>
            <w:sz w:val="22"/>
            <w:szCs w:val="22"/>
          </w:rPr>
          <w:instrText xml:space="preserve"> PAGEREF _Toc456597832 \h </w:instrText>
        </w:r>
        <w:r w:rsidR="00DE1BAB" w:rsidRPr="008D3BB2">
          <w:rPr>
            <w:noProof/>
            <w:webHidden/>
            <w:sz w:val="22"/>
            <w:szCs w:val="22"/>
          </w:rPr>
        </w:r>
        <w:r w:rsidR="00DE1BAB" w:rsidRPr="008D3BB2">
          <w:rPr>
            <w:noProof/>
            <w:webHidden/>
            <w:sz w:val="22"/>
            <w:szCs w:val="22"/>
          </w:rPr>
          <w:fldChar w:fldCharType="separate"/>
        </w:r>
        <w:r w:rsidR="008B29EC">
          <w:rPr>
            <w:noProof/>
            <w:webHidden/>
            <w:sz w:val="22"/>
            <w:szCs w:val="22"/>
          </w:rPr>
          <w:t>10</w:t>
        </w:r>
        <w:r w:rsidR="00DE1BAB" w:rsidRPr="008D3BB2">
          <w:rPr>
            <w:noProof/>
            <w:webHidden/>
            <w:sz w:val="22"/>
            <w:szCs w:val="22"/>
          </w:rPr>
          <w:fldChar w:fldCharType="end"/>
        </w:r>
      </w:hyperlink>
    </w:p>
    <w:p w:rsidR="00E408EE" w:rsidRDefault="00DC0480" w:rsidP="00FD1805">
      <w:pPr>
        <w:jc w:val="both"/>
      </w:pPr>
      <w:r>
        <w:fldChar w:fldCharType="end"/>
      </w:r>
    </w:p>
    <w:p w:rsidR="00E408EE" w:rsidRDefault="00E408EE" w:rsidP="00FD1805">
      <w:pPr>
        <w:pStyle w:val="Heading1"/>
        <w:jc w:val="both"/>
      </w:pPr>
      <w:bookmarkStart w:id="0" w:name="_GoBack"/>
      <w:bookmarkEnd w:id="0"/>
    </w:p>
    <w:p w:rsidR="00E408EE" w:rsidRDefault="00E408EE" w:rsidP="00FD1805">
      <w:pPr>
        <w:pStyle w:val="Heading1"/>
        <w:jc w:val="both"/>
      </w:pPr>
    </w:p>
    <w:p w:rsidR="00E408EE" w:rsidRPr="00FD1805" w:rsidRDefault="00E408EE" w:rsidP="00FD1805">
      <w:pPr>
        <w:jc w:val="both"/>
        <w:rPr>
          <w:rFonts w:ascii="Cambria" w:hAnsi="Cambria"/>
          <w:b/>
          <w:bCs/>
          <w:color w:val="365F91"/>
          <w:sz w:val="28"/>
          <w:szCs w:val="28"/>
        </w:rPr>
      </w:pPr>
      <w:r>
        <w:br w:type="page"/>
      </w:r>
    </w:p>
    <w:p w:rsidR="00C67E01" w:rsidRPr="008B29EC" w:rsidRDefault="00AB58F3" w:rsidP="008B29EC">
      <w:pPr>
        <w:pStyle w:val="Heading2"/>
        <w:rPr>
          <w:rFonts w:ascii="Arial" w:hAnsi="Arial" w:cs="Arial"/>
          <w:color w:val="auto"/>
          <w:sz w:val="24"/>
          <w:szCs w:val="24"/>
        </w:rPr>
      </w:pPr>
      <w:bookmarkStart w:id="1" w:name="_Toc456597820"/>
      <w:r w:rsidRPr="008B29EC">
        <w:rPr>
          <w:rFonts w:ascii="Arial" w:hAnsi="Arial" w:cs="Arial"/>
          <w:color w:val="auto"/>
          <w:sz w:val="24"/>
          <w:szCs w:val="24"/>
        </w:rPr>
        <w:t>BACKGROUND</w:t>
      </w:r>
      <w:bookmarkEnd w:id="1"/>
    </w:p>
    <w:p w:rsidR="00EA06D6" w:rsidRPr="008D3BB2" w:rsidRDefault="0012111A" w:rsidP="00FD1805">
      <w:pPr>
        <w:pStyle w:val="ListParagraph"/>
        <w:jc w:val="both"/>
        <w:rPr>
          <w:sz w:val="22"/>
          <w:szCs w:val="22"/>
        </w:rPr>
      </w:pPr>
      <w:r w:rsidRPr="008D3BB2">
        <w:rPr>
          <w:sz w:val="22"/>
          <w:szCs w:val="22"/>
        </w:rPr>
        <w:t xml:space="preserve">Municipalities receive </w:t>
      </w:r>
      <w:r w:rsidR="00AB7388" w:rsidRPr="008D3BB2">
        <w:rPr>
          <w:sz w:val="22"/>
          <w:szCs w:val="22"/>
        </w:rPr>
        <w:t xml:space="preserve">revenue </w:t>
      </w:r>
      <w:r w:rsidRPr="008D3BB2">
        <w:rPr>
          <w:sz w:val="22"/>
          <w:szCs w:val="22"/>
        </w:rPr>
        <w:t xml:space="preserve">from various sources </w:t>
      </w:r>
      <w:r w:rsidR="00E25450" w:rsidRPr="008D3BB2">
        <w:rPr>
          <w:sz w:val="22"/>
          <w:szCs w:val="22"/>
        </w:rPr>
        <w:t>i.e.</w:t>
      </w:r>
      <w:r w:rsidRPr="008D3BB2">
        <w:rPr>
          <w:sz w:val="22"/>
          <w:szCs w:val="22"/>
        </w:rPr>
        <w:t xml:space="preserve">, the provision of goods </w:t>
      </w:r>
      <w:r w:rsidR="00354410" w:rsidRPr="008D3BB2">
        <w:rPr>
          <w:sz w:val="22"/>
          <w:szCs w:val="22"/>
        </w:rPr>
        <w:t xml:space="preserve">or </w:t>
      </w:r>
      <w:r w:rsidRPr="008D3BB2">
        <w:rPr>
          <w:sz w:val="22"/>
          <w:szCs w:val="22"/>
        </w:rPr>
        <w:t xml:space="preserve">services, </w:t>
      </w:r>
      <w:r w:rsidR="0083589B" w:rsidRPr="008D3BB2">
        <w:rPr>
          <w:sz w:val="22"/>
          <w:szCs w:val="22"/>
        </w:rPr>
        <w:t>p</w:t>
      </w:r>
      <w:r w:rsidRPr="008D3BB2">
        <w:rPr>
          <w:sz w:val="22"/>
          <w:szCs w:val="22"/>
        </w:rPr>
        <w:t xml:space="preserve">roperty </w:t>
      </w:r>
      <w:r w:rsidR="0083589B" w:rsidRPr="008D3BB2">
        <w:rPr>
          <w:sz w:val="22"/>
          <w:szCs w:val="22"/>
        </w:rPr>
        <w:t>r</w:t>
      </w:r>
      <w:r w:rsidRPr="008D3BB2">
        <w:rPr>
          <w:sz w:val="22"/>
          <w:szCs w:val="22"/>
        </w:rPr>
        <w:t>ates</w:t>
      </w:r>
      <w:r w:rsidR="0083589B" w:rsidRPr="008D3BB2">
        <w:rPr>
          <w:sz w:val="22"/>
          <w:szCs w:val="22"/>
        </w:rPr>
        <w:t xml:space="preserve">, fines and penalties, licences and permits and </w:t>
      </w:r>
      <w:r w:rsidR="00EA06D6" w:rsidRPr="008D3BB2">
        <w:rPr>
          <w:sz w:val="22"/>
          <w:szCs w:val="22"/>
        </w:rPr>
        <w:t>transfers and subsidies</w:t>
      </w:r>
      <w:r w:rsidR="00C76FAA" w:rsidRPr="008D3BB2">
        <w:rPr>
          <w:sz w:val="22"/>
          <w:szCs w:val="22"/>
        </w:rPr>
        <w:t xml:space="preserve">.  </w:t>
      </w:r>
      <w:r w:rsidR="0083589B" w:rsidRPr="008D3BB2">
        <w:rPr>
          <w:sz w:val="22"/>
          <w:szCs w:val="22"/>
        </w:rPr>
        <w:t xml:space="preserve">The classification of these sources of revenue </w:t>
      </w:r>
      <w:r w:rsidR="005B5357" w:rsidRPr="008D3BB2">
        <w:rPr>
          <w:sz w:val="22"/>
          <w:szCs w:val="22"/>
        </w:rPr>
        <w:t>-</w:t>
      </w:r>
      <w:r w:rsidR="0083589B" w:rsidRPr="008D3BB2">
        <w:rPr>
          <w:sz w:val="22"/>
          <w:szCs w:val="22"/>
        </w:rPr>
        <w:t xml:space="preserve">between “Revenue from Exchange Transactions” </w:t>
      </w:r>
      <w:r w:rsidR="00365235" w:rsidRPr="008D3BB2">
        <w:rPr>
          <w:sz w:val="22"/>
          <w:szCs w:val="22"/>
        </w:rPr>
        <w:t xml:space="preserve">are </w:t>
      </w:r>
      <w:r w:rsidR="0083589B" w:rsidRPr="008D3BB2">
        <w:rPr>
          <w:sz w:val="22"/>
          <w:szCs w:val="22"/>
        </w:rPr>
        <w:t>guide</w:t>
      </w:r>
      <w:r w:rsidR="006D1EE8" w:rsidRPr="008D3BB2">
        <w:rPr>
          <w:sz w:val="22"/>
          <w:szCs w:val="22"/>
        </w:rPr>
        <w:t>d</w:t>
      </w:r>
      <w:r w:rsidR="0083589B" w:rsidRPr="008D3BB2">
        <w:rPr>
          <w:sz w:val="22"/>
          <w:szCs w:val="22"/>
        </w:rPr>
        <w:t xml:space="preserve"> by the Standards of GR</w:t>
      </w:r>
      <w:r w:rsidR="00EA06D6" w:rsidRPr="008D3BB2">
        <w:rPr>
          <w:sz w:val="22"/>
          <w:szCs w:val="22"/>
        </w:rPr>
        <w:t xml:space="preserve">AP 9 on Revenue from Exchange Transactions” and “Revenue from Non-exchange Transactions” </w:t>
      </w:r>
      <w:r w:rsidR="00365235" w:rsidRPr="008D3BB2">
        <w:rPr>
          <w:sz w:val="22"/>
          <w:szCs w:val="22"/>
        </w:rPr>
        <w:t xml:space="preserve">and </w:t>
      </w:r>
      <w:r w:rsidR="00EA06D6" w:rsidRPr="008D3BB2">
        <w:rPr>
          <w:sz w:val="22"/>
          <w:szCs w:val="22"/>
        </w:rPr>
        <w:t xml:space="preserve">guided </w:t>
      </w:r>
      <w:r w:rsidR="00365235" w:rsidRPr="008D3BB2">
        <w:rPr>
          <w:sz w:val="22"/>
          <w:szCs w:val="22"/>
        </w:rPr>
        <w:t xml:space="preserve">as well </w:t>
      </w:r>
      <w:r w:rsidR="00EA06D6" w:rsidRPr="008D3BB2">
        <w:rPr>
          <w:sz w:val="22"/>
          <w:szCs w:val="22"/>
        </w:rPr>
        <w:t xml:space="preserve">by the Standards of GRAP 23 on Revenue from Non-exchange Transactions.  The ASB further released the Standards of GRAP 109 on Statutory Receivables which is not yet applicable.  </w:t>
      </w:r>
    </w:p>
    <w:p w:rsidR="00317B4E" w:rsidRPr="008D3BB2" w:rsidRDefault="00EA06D6" w:rsidP="00FD1805">
      <w:pPr>
        <w:pStyle w:val="ListParagraph"/>
        <w:jc w:val="both"/>
        <w:rPr>
          <w:sz w:val="22"/>
          <w:szCs w:val="22"/>
        </w:rPr>
      </w:pPr>
      <w:r w:rsidRPr="008D3BB2">
        <w:rPr>
          <w:sz w:val="22"/>
          <w:szCs w:val="22"/>
        </w:rPr>
        <w:t>Prior to the implementation of mSCOA little emphasis had been</w:t>
      </w:r>
      <w:r w:rsidR="00F4770F" w:rsidRPr="008D3BB2">
        <w:rPr>
          <w:sz w:val="22"/>
          <w:szCs w:val="22"/>
        </w:rPr>
        <w:t xml:space="preserve"> given</w:t>
      </w:r>
      <w:r w:rsidRPr="008D3BB2">
        <w:rPr>
          <w:sz w:val="22"/>
          <w:szCs w:val="22"/>
        </w:rPr>
        <w:t xml:space="preserve"> to drawing this distinction</w:t>
      </w:r>
      <w:r w:rsidR="00317B4E" w:rsidRPr="008D3BB2">
        <w:rPr>
          <w:sz w:val="22"/>
          <w:szCs w:val="22"/>
        </w:rPr>
        <w:t xml:space="preserve"> at the point of classifying the transaction for capturing within the financial application.</w:t>
      </w:r>
    </w:p>
    <w:p w:rsidR="00272ADC" w:rsidRPr="008D3BB2" w:rsidRDefault="00317B4E" w:rsidP="00FD1805">
      <w:pPr>
        <w:pStyle w:val="ListParagraph"/>
        <w:jc w:val="both"/>
        <w:rPr>
          <w:sz w:val="22"/>
          <w:szCs w:val="22"/>
        </w:rPr>
      </w:pPr>
      <w:r w:rsidRPr="008D3BB2">
        <w:rPr>
          <w:sz w:val="22"/>
          <w:szCs w:val="22"/>
        </w:rPr>
        <w:t>The distinction usually was made at the time of preparatio</w:t>
      </w:r>
      <w:r w:rsidR="005A4A42" w:rsidRPr="008D3BB2">
        <w:rPr>
          <w:sz w:val="22"/>
          <w:szCs w:val="22"/>
        </w:rPr>
        <w:t>n of the financial statements.  The</w:t>
      </w:r>
      <w:r w:rsidRPr="008D3BB2">
        <w:rPr>
          <w:sz w:val="22"/>
          <w:szCs w:val="22"/>
        </w:rPr>
        <w:t xml:space="preserve"> Budget Reporting Tables and In-year Reporting Tables also did not require this classification.</w:t>
      </w:r>
    </w:p>
    <w:p w:rsidR="00D54A39" w:rsidRPr="008B29EC" w:rsidRDefault="00317B4E" w:rsidP="008B29EC">
      <w:pPr>
        <w:pStyle w:val="Heading2"/>
        <w:rPr>
          <w:rFonts w:ascii="Arial" w:hAnsi="Arial" w:cs="Arial"/>
          <w:color w:val="auto"/>
          <w:sz w:val="24"/>
          <w:szCs w:val="24"/>
        </w:rPr>
      </w:pPr>
      <w:bookmarkStart w:id="2" w:name="_Toc456597821"/>
      <w:r w:rsidRPr="008B29EC">
        <w:rPr>
          <w:rFonts w:ascii="Arial" w:hAnsi="Arial" w:cs="Arial"/>
          <w:color w:val="auto"/>
          <w:sz w:val="24"/>
          <w:szCs w:val="24"/>
        </w:rPr>
        <w:t>THE PROBLEM STATEMENT</w:t>
      </w:r>
      <w:bookmarkEnd w:id="2"/>
    </w:p>
    <w:p w:rsidR="00317B4E" w:rsidRPr="008D3BB2" w:rsidRDefault="00317B4E" w:rsidP="00FD1805">
      <w:pPr>
        <w:pStyle w:val="ListParagraph"/>
        <w:jc w:val="both"/>
        <w:rPr>
          <w:sz w:val="22"/>
          <w:szCs w:val="22"/>
        </w:rPr>
      </w:pPr>
      <w:r w:rsidRPr="008D3BB2">
        <w:rPr>
          <w:sz w:val="22"/>
          <w:szCs w:val="22"/>
        </w:rPr>
        <w:t xml:space="preserve">Municipalities have varying opinions on whether or not specifically </w:t>
      </w:r>
      <w:r w:rsidR="00046CD2" w:rsidRPr="008D3BB2">
        <w:rPr>
          <w:sz w:val="22"/>
          <w:szCs w:val="22"/>
        </w:rPr>
        <w:t>“</w:t>
      </w:r>
      <w:r w:rsidR="001715DA" w:rsidRPr="008D3BB2">
        <w:rPr>
          <w:sz w:val="22"/>
          <w:szCs w:val="22"/>
        </w:rPr>
        <w:t>licences and permits</w:t>
      </w:r>
      <w:r w:rsidR="00046CD2" w:rsidRPr="008D3BB2">
        <w:rPr>
          <w:sz w:val="22"/>
          <w:szCs w:val="22"/>
        </w:rPr>
        <w:t>”</w:t>
      </w:r>
      <w:r w:rsidRPr="008D3BB2">
        <w:rPr>
          <w:sz w:val="22"/>
          <w:szCs w:val="22"/>
        </w:rPr>
        <w:t xml:space="preserve"> should be classified as </w:t>
      </w:r>
      <w:r w:rsidR="00046CD2" w:rsidRPr="008D3BB2">
        <w:rPr>
          <w:sz w:val="22"/>
          <w:szCs w:val="22"/>
        </w:rPr>
        <w:t>“</w:t>
      </w:r>
      <w:r w:rsidRPr="008D3BB2">
        <w:rPr>
          <w:sz w:val="22"/>
          <w:szCs w:val="22"/>
        </w:rPr>
        <w:t>exchange or non-exchange revenue</w:t>
      </w:r>
      <w:r w:rsidR="00046CD2" w:rsidRPr="008D3BB2">
        <w:rPr>
          <w:sz w:val="22"/>
          <w:szCs w:val="22"/>
        </w:rPr>
        <w:t>”</w:t>
      </w:r>
      <w:r w:rsidRPr="008D3BB2">
        <w:rPr>
          <w:sz w:val="22"/>
          <w:szCs w:val="22"/>
        </w:rPr>
        <w:t xml:space="preserve">.  </w:t>
      </w:r>
    </w:p>
    <w:p w:rsidR="0012111A" w:rsidRPr="008D3BB2" w:rsidRDefault="0012111A" w:rsidP="00FD1805">
      <w:pPr>
        <w:pStyle w:val="ListParagraph"/>
        <w:jc w:val="both"/>
        <w:rPr>
          <w:sz w:val="22"/>
          <w:szCs w:val="22"/>
        </w:rPr>
      </w:pPr>
      <w:r w:rsidRPr="008D3BB2">
        <w:rPr>
          <w:sz w:val="22"/>
          <w:szCs w:val="22"/>
        </w:rPr>
        <w:t xml:space="preserve">In certain circumstances, the same type of </w:t>
      </w:r>
      <w:r w:rsidR="00AB7388" w:rsidRPr="008D3BB2">
        <w:rPr>
          <w:sz w:val="22"/>
          <w:szCs w:val="22"/>
        </w:rPr>
        <w:t xml:space="preserve">revenue </w:t>
      </w:r>
      <w:r w:rsidRPr="008D3BB2">
        <w:rPr>
          <w:sz w:val="22"/>
          <w:szCs w:val="22"/>
        </w:rPr>
        <w:t xml:space="preserve">may take the form of either </w:t>
      </w:r>
      <w:r w:rsidR="00AB7388" w:rsidRPr="008D3BB2">
        <w:rPr>
          <w:sz w:val="22"/>
          <w:szCs w:val="22"/>
        </w:rPr>
        <w:t xml:space="preserve">exchange </w:t>
      </w:r>
      <w:r w:rsidRPr="008D3BB2">
        <w:rPr>
          <w:sz w:val="22"/>
          <w:szCs w:val="22"/>
        </w:rPr>
        <w:t xml:space="preserve">or </w:t>
      </w:r>
      <w:r w:rsidR="00AB7388" w:rsidRPr="008D3BB2">
        <w:rPr>
          <w:sz w:val="22"/>
          <w:szCs w:val="22"/>
        </w:rPr>
        <w:t>non</w:t>
      </w:r>
      <w:r w:rsidRPr="008D3BB2">
        <w:rPr>
          <w:sz w:val="22"/>
          <w:szCs w:val="22"/>
        </w:rPr>
        <w:t>-</w:t>
      </w:r>
      <w:r w:rsidR="00AB7388" w:rsidRPr="008D3BB2">
        <w:rPr>
          <w:sz w:val="22"/>
          <w:szCs w:val="22"/>
        </w:rPr>
        <w:t xml:space="preserve">exchange </w:t>
      </w:r>
      <w:r w:rsidRPr="008D3BB2">
        <w:rPr>
          <w:sz w:val="22"/>
          <w:szCs w:val="22"/>
        </w:rPr>
        <w:t xml:space="preserve">transactions, depending on the circumstances and services that the </w:t>
      </w:r>
      <w:r w:rsidR="001715DA" w:rsidRPr="008D3BB2">
        <w:rPr>
          <w:sz w:val="22"/>
          <w:szCs w:val="22"/>
        </w:rPr>
        <w:t>m</w:t>
      </w:r>
      <w:r w:rsidRPr="008D3BB2">
        <w:rPr>
          <w:sz w:val="22"/>
          <w:szCs w:val="22"/>
        </w:rPr>
        <w:t xml:space="preserve">unicipality is required to undertake to earn the </w:t>
      </w:r>
      <w:r w:rsidR="00AB7388" w:rsidRPr="008D3BB2">
        <w:rPr>
          <w:sz w:val="22"/>
          <w:szCs w:val="22"/>
        </w:rPr>
        <w:t>revenue</w:t>
      </w:r>
      <w:r w:rsidRPr="008D3BB2">
        <w:rPr>
          <w:sz w:val="22"/>
          <w:szCs w:val="22"/>
        </w:rPr>
        <w:t xml:space="preserve">, </w:t>
      </w:r>
      <w:r w:rsidR="00E25450" w:rsidRPr="008D3BB2">
        <w:rPr>
          <w:sz w:val="22"/>
          <w:szCs w:val="22"/>
        </w:rPr>
        <w:t>i.e.</w:t>
      </w:r>
      <w:r w:rsidRPr="008D3BB2">
        <w:rPr>
          <w:sz w:val="22"/>
          <w:szCs w:val="22"/>
        </w:rPr>
        <w:t>, either through the rendering of a service or the execution of a legislative right to tax</w:t>
      </w:r>
      <w:r w:rsidR="001715DA" w:rsidRPr="008D3BB2">
        <w:rPr>
          <w:sz w:val="22"/>
          <w:szCs w:val="22"/>
        </w:rPr>
        <w:t xml:space="preserve"> by the administration of a compliance function</w:t>
      </w:r>
      <w:r w:rsidR="0040018F" w:rsidRPr="008D3BB2">
        <w:rPr>
          <w:sz w:val="22"/>
          <w:szCs w:val="22"/>
        </w:rPr>
        <w:t>,</w:t>
      </w:r>
      <w:r w:rsidR="001715DA" w:rsidRPr="008D3BB2">
        <w:rPr>
          <w:sz w:val="22"/>
          <w:szCs w:val="22"/>
        </w:rPr>
        <w:t xml:space="preserve"> in terms of the set of legislation.  </w:t>
      </w:r>
    </w:p>
    <w:p w:rsidR="00D54A39" w:rsidRPr="008D3BB2" w:rsidRDefault="00AA6A81" w:rsidP="00FD1805">
      <w:pPr>
        <w:pStyle w:val="ListParagraph"/>
        <w:jc w:val="both"/>
        <w:rPr>
          <w:sz w:val="22"/>
          <w:szCs w:val="22"/>
        </w:rPr>
      </w:pPr>
      <w:r w:rsidRPr="008D3BB2">
        <w:rPr>
          <w:sz w:val="22"/>
          <w:szCs w:val="22"/>
        </w:rPr>
        <w:t>M</w:t>
      </w:r>
      <w:r w:rsidR="00ED37EE" w:rsidRPr="008D3BB2">
        <w:rPr>
          <w:sz w:val="22"/>
          <w:szCs w:val="22"/>
        </w:rPr>
        <w:t xml:space="preserve">unicipalities are </w:t>
      </w:r>
      <w:r w:rsidR="0012111A" w:rsidRPr="008D3BB2">
        <w:rPr>
          <w:sz w:val="22"/>
          <w:szCs w:val="22"/>
        </w:rPr>
        <w:t xml:space="preserve">required to apply judgement as to whether </w:t>
      </w:r>
      <w:r w:rsidR="00AB7388" w:rsidRPr="008D3BB2">
        <w:rPr>
          <w:sz w:val="22"/>
          <w:szCs w:val="22"/>
        </w:rPr>
        <w:t xml:space="preserve">revenue </w:t>
      </w:r>
      <w:r w:rsidR="0012111A" w:rsidRPr="008D3BB2">
        <w:rPr>
          <w:sz w:val="22"/>
          <w:szCs w:val="22"/>
        </w:rPr>
        <w:t xml:space="preserve">constitutes exchange or non-exchange </w:t>
      </w:r>
      <w:r w:rsidR="00AB7388" w:rsidRPr="008D3BB2">
        <w:rPr>
          <w:sz w:val="22"/>
          <w:szCs w:val="22"/>
        </w:rPr>
        <w:t xml:space="preserve">revenue </w:t>
      </w:r>
      <w:r w:rsidR="0012111A" w:rsidRPr="008D3BB2">
        <w:rPr>
          <w:sz w:val="22"/>
          <w:szCs w:val="22"/>
        </w:rPr>
        <w:t xml:space="preserve">in terms of </w:t>
      </w:r>
      <w:r w:rsidR="00BB12D3" w:rsidRPr="008D3BB2">
        <w:rPr>
          <w:sz w:val="22"/>
          <w:szCs w:val="22"/>
        </w:rPr>
        <w:t xml:space="preserve">Standards of </w:t>
      </w:r>
      <w:r w:rsidR="0012111A" w:rsidRPr="008D3BB2">
        <w:rPr>
          <w:sz w:val="22"/>
          <w:szCs w:val="22"/>
        </w:rPr>
        <w:t>GRAP 9 and GRAP 23 in certain circumstances</w:t>
      </w:r>
      <w:r w:rsidR="00BB12D3" w:rsidRPr="008D3BB2">
        <w:rPr>
          <w:sz w:val="22"/>
          <w:szCs w:val="22"/>
        </w:rPr>
        <w:t>.</w:t>
      </w:r>
    </w:p>
    <w:p w:rsidR="00046CD2" w:rsidRPr="008D3BB2" w:rsidRDefault="00046CD2" w:rsidP="00FD1805">
      <w:pPr>
        <w:pStyle w:val="ListParagraph"/>
        <w:jc w:val="both"/>
        <w:rPr>
          <w:sz w:val="22"/>
          <w:szCs w:val="22"/>
        </w:rPr>
      </w:pPr>
      <w:r w:rsidRPr="008D3BB2">
        <w:rPr>
          <w:sz w:val="22"/>
          <w:szCs w:val="22"/>
        </w:rPr>
        <w:t>Requests</w:t>
      </w:r>
      <w:r w:rsidR="00005995" w:rsidRPr="008D3BB2">
        <w:rPr>
          <w:sz w:val="22"/>
          <w:szCs w:val="22"/>
        </w:rPr>
        <w:t xml:space="preserve"> were</w:t>
      </w:r>
      <w:r w:rsidRPr="008D3BB2">
        <w:rPr>
          <w:sz w:val="22"/>
          <w:szCs w:val="22"/>
        </w:rPr>
        <w:t xml:space="preserve"> made through training interventions, consultation and the Frequently Asked Questions Database to standardise the classification of “licences and permits” to either “exchange or non-exchange revenue”.</w:t>
      </w:r>
    </w:p>
    <w:p w:rsidR="00046CD2" w:rsidRPr="008D3BB2" w:rsidRDefault="00046CD2" w:rsidP="00FD1805">
      <w:pPr>
        <w:pStyle w:val="ListParagraph"/>
        <w:jc w:val="both"/>
        <w:rPr>
          <w:sz w:val="22"/>
          <w:szCs w:val="22"/>
        </w:rPr>
      </w:pPr>
      <w:r w:rsidRPr="008D3BB2">
        <w:rPr>
          <w:sz w:val="22"/>
          <w:szCs w:val="22"/>
        </w:rPr>
        <w:t>This Position Paper serves to share the outcome of the above requests in the context of mSCOA specifically to Version 5.5 (potentially locked to become 6).</w:t>
      </w:r>
    </w:p>
    <w:p w:rsidR="00AC5DE8" w:rsidRPr="008B29EC" w:rsidRDefault="00253559" w:rsidP="008B29EC">
      <w:pPr>
        <w:pStyle w:val="Heading2"/>
        <w:rPr>
          <w:rFonts w:ascii="Arial" w:hAnsi="Arial" w:cs="Arial"/>
          <w:color w:val="auto"/>
          <w:sz w:val="24"/>
          <w:szCs w:val="24"/>
        </w:rPr>
      </w:pPr>
      <w:bookmarkStart w:id="3" w:name="_Toc456597822"/>
      <w:r w:rsidRPr="008B29EC">
        <w:rPr>
          <w:rFonts w:ascii="Arial" w:hAnsi="Arial" w:cs="Arial"/>
          <w:color w:val="auto"/>
          <w:sz w:val="24"/>
          <w:szCs w:val="24"/>
        </w:rPr>
        <w:lastRenderedPageBreak/>
        <w:t xml:space="preserve">LEGISLATIVE AND </w:t>
      </w:r>
      <w:r w:rsidR="00046CD2" w:rsidRPr="008B29EC">
        <w:rPr>
          <w:rFonts w:ascii="Arial" w:hAnsi="Arial" w:cs="Arial"/>
          <w:color w:val="auto"/>
          <w:sz w:val="24"/>
          <w:szCs w:val="24"/>
        </w:rPr>
        <w:t xml:space="preserve">ACCOUNTING </w:t>
      </w:r>
      <w:r w:rsidRPr="008B29EC">
        <w:rPr>
          <w:rFonts w:ascii="Arial" w:hAnsi="Arial" w:cs="Arial"/>
          <w:color w:val="auto"/>
          <w:sz w:val="24"/>
          <w:szCs w:val="24"/>
        </w:rPr>
        <w:t>STANDARD</w:t>
      </w:r>
      <w:r w:rsidR="00046CD2" w:rsidRPr="008B29EC">
        <w:rPr>
          <w:rFonts w:ascii="Arial" w:hAnsi="Arial" w:cs="Arial"/>
          <w:color w:val="auto"/>
          <w:sz w:val="24"/>
          <w:szCs w:val="24"/>
        </w:rPr>
        <w:t>S</w:t>
      </w:r>
      <w:bookmarkEnd w:id="3"/>
    </w:p>
    <w:p w:rsidR="00171E5E" w:rsidRPr="008B29EC" w:rsidRDefault="00EB76FC" w:rsidP="008B29EC">
      <w:pPr>
        <w:pStyle w:val="Heading3"/>
        <w:rPr>
          <w:rFonts w:ascii="Arial" w:hAnsi="Arial" w:cs="Arial"/>
          <w:color w:val="auto"/>
          <w:sz w:val="20"/>
          <w:szCs w:val="20"/>
        </w:rPr>
      </w:pPr>
      <w:bookmarkStart w:id="4" w:name="_Toc456597823"/>
      <w:r w:rsidRPr="008B29EC">
        <w:rPr>
          <w:rFonts w:ascii="Arial" w:hAnsi="Arial" w:cs="Arial"/>
          <w:color w:val="auto"/>
          <w:sz w:val="20"/>
          <w:szCs w:val="20"/>
        </w:rPr>
        <w:t>Legislation</w:t>
      </w:r>
      <w:bookmarkEnd w:id="4"/>
    </w:p>
    <w:p w:rsidR="0012111A" w:rsidRPr="008D3BB2" w:rsidRDefault="0012111A" w:rsidP="00FD1805">
      <w:pPr>
        <w:pStyle w:val="ListParagraph"/>
        <w:jc w:val="both"/>
        <w:rPr>
          <w:sz w:val="22"/>
          <w:szCs w:val="22"/>
        </w:rPr>
      </w:pPr>
      <w:r w:rsidRPr="008D3BB2">
        <w:rPr>
          <w:sz w:val="22"/>
          <w:szCs w:val="22"/>
        </w:rPr>
        <w:t>Section 64 of the M</w:t>
      </w:r>
      <w:r w:rsidR="001715DA" w:rsidRPr="008D3BB2">
        <w:rPr>
          <w:sz w:val="22"/>
          <w:szCs w:val="22"/>
        </w:rPr>
        <w:t xml:space="preserve">unicipal </w:t>
      </w:r>
      <w:r w:rsidRPr="008D3BB2">
        <w:rPr>
          <w:sz w:val="22"/>
          <w:szCs w:val="22"/>
        </w:rPr>
        <w:t>F</w:t>
      </w:r>
      <w:r w:rsidR="001715DA" w:rsidRPr="008D3BB2">
        <w:rPr>
          <w:sz w:val="22"/>
          <w:szCs w:val="22"/>
        </w:rPr>
        <w:t xml:space="preserve">inance </w:t>
      </w:r>
      <w:r w:rsidRPr="008D3BB2">
        <w:rPr>
          <w:sz w:val="22"/>
          <w:szCs w:val="22"/>
        </w:rPr>
        <w:t>M</w:t>
      </w:r>
      <w:r w:rsidR="001715DA" w:rsidRPr="008D3BB2">
        <w:rPr>
          <w:sz w:val="22"/>
          <w:szCs w:val="22"/>
        </w:rPr>
        <w:t xml:space="preserve">anagement </w:t>
      </w:r>
      <w:r w:rsidRPr="008D3BB2">
        <w:rPr>
          <w:sz w:val="22"/>
          <w:szCs w:val="22"/>
        </w:rPr>
        <w:t>A</w:t>
      </w:r>
      <w:r w:rsidR="001715DA" w:rsidRPr="008D3BB2">
        <w:rPr>
          <w:sz w:val="22"/>
          <w:szCs w:val="22"/>
        </w:rPr>
        <w:t xml:space="preserve">ct, No </w:t>
      </w:r>
      <w:r w:rsidR="00046CD2" w:rsidRPr="008D3BB2">
        <w:rPr>
          <w:sz w:val="22"/>
          <w:szCs w:val="22"/>
        </w:rPr>
        <w:t>56 of 2003 (MFMA)</w:t>
      </w:r>
      <w:r w:rsidRPr="008D3BB2">
        <w:rPr>
          <w:sz w:val="22"/>
          <w:szCs w:val="22"/>
        </w:rPr>
        <w:t xml:space="preserve"> states that the accounting officer is responsible for the management of revenue of the municipality. </w:t>
      </w:r>
      <w:r w:rsidR="00046CD2" w:rsidRPr="008D3BB2">
        <w:rPr>
          <w:sz w:val="22"/>
          <w:szCs w:val="22"/>
        </w:rPr>
        <w:t xml:space="preserve"> </w:t>
      </w:r>
      <w:r w:rsidRPr="008D3BB2">
        <w:rPr>
          <w:sz w:val="22"/>
          <w:szCs w:val="22"/>
        </w:rPr>
        <w:t>This includes amongst others:</w:t>
      </w:r>
    </w:p>
    <w:p w:rsidR="0012111A" w:rsidRPr="008D3BB2" w:rsidRDefault="0012111A" w:rsidP="00FD1805">
      <w:pPr>
        <w:pStyle w:val="ListParagraph"/>
        <w:jc w:val="both"/>
        <w:rPr>
          <w:sz w:val="22"/>
          <w:szCs w:val="22"/>
        </w:rPr>
      </w:pPr>
      <w:r w:rsidRPr="008D3BB2">
        <w:rPr>
          <w:sz w:val="22"/>
          <w:szCs w:val="22"/>
        </w:rPr>
        <w:t>The revenue due to the municipality is calculated on a monthly basis</w:t>
      </w:r>
    </w:p>
    <w:p w:rsidR="0012111A" w:rsidRPr="008D3BB2" w:rsidRDefault="0012111A" w:rsidP="00FD1805">
      <w:pPr>
        <w:pStyle w:val="ListParagraph"/>
        <w:jc w:val="both"/>
        <w:rPr>
          <w:sz w:val="22"/>
          <w:szCs w:val="22"/>
        </w:rPr>
      </w:pPr>
      <w:r w:rsidRPr="008D3BB2">
        <w:rPr>
          <w:sz w:val="22"/>
          <w:szCs w:val="22"/>
        </w:rPr>
        <w:t>The municipality has and maintains a management, accounting and information system which</w:t>
      </w:r>
      <w:r w:rsidR="00046CD2" w:rsidRPr="008D3BB2">
        <w:rPr>
          <w:sz w:val="22"/>
          <w:szCs w:val="22"/>
        </w:rPr>
        <w:t>:</w:t>
      </w:r>
    </w:p>
    <w:p w:rsidR="0012111A" w:rsidRPr="008D3BB2" w:rsidRDefault="00046CD2" w:rsidP="00FD1805">
      <w:pPr>
        <w:pStyle w:val="BulletParagraph"/>
        <w:jc w:val="both"/>
        <w:rPr>
          <w:sz w:val="22"/>
          <w:szCs w:val="22"/>
        </w:rPr>
      </w:pPr>
      <w:r w:rsidRPr="008D3BB2">
        <w:rPr>
          <w:sz w:val="22"/>
          <w:szCs w:val="22"/>
        </w:rPr>
        <w:t>r</w:t>
      </w:r>
      <w:r w:rsidR="0012111A" w:rsidRPr="008D3BB2">
        <w:rPr>
          <w:sz w:val="22"/>
          <w:szCs w:val="22"/>
        </w:rPr>
        <w:t>ecognises revenue when it is earned</w:t>
      </w:r>
      <w:r w:rsidRPr="008D3BB2">
        <w:rPr>
          <w:sz w:val="22"/>
          <w:szCs w:val="22"/>
        </w:rPr>
        <w:t>;</w:t>
      </w:r>
    </w:p>
    <w:p w:rsidR="0012111A" w:rsidRPr="008D3BB2" w:rsidRDefault="00046CD2" w:rsidP="00FD1805">
      <w:pPr>
        <w:pStyle w:val="BulletParagraph"/>
        <w:jc w:val="both"/>
        <w:rPr>
          <w:sz w:val="22"/>
          <w:szCs w:val="22"/>
        </w:rPr>
      </w:pPr>
      <w:r w:rsidRPr="008D3BB2">
        <w:rPr>
          <w:sz w:val="22"/>
          <w:szCs w:val="22"/>
        </w:rPr>
        <w:t>a</w:t>
      </w:r>
      <w:r w:rsidR="0012111A" w:rsidRPr="008D3BB2">
        <w:rPr>
          <w:sz w:val="22"/>
          <w:szCs w:val="22"/>
        </w:rPr>
        <w:t>ccounts for debtors</w:t>
      </w:r>
      <w:r w:rsidRPr="008D3BB2">
        <w:rPr>
          <w:sz w:val="22"/>
          <w:szCs w:val="22"/>
        </w:rPr>
        <w:t>; and</w:t>
      </w:r>
    </w:p>
    <w:p w:rsidR="0012111A" w:rsidRPr="008D3BB2" w:rsidRDefault="00046CD2" w:rsidP="00FD1805">
      <w:pPr>
        <w:pStyle w:val="BulletParagraph"/>
        <w:jc w:val="both"/>
        <w:rPr>
          <w:sz w:val="22"/>
          <w:szCs w:val="22"/>
        </w:rPr>
      </w:pPr>
      <w:proofErr w:type="gramStart"/>
      <w:r w:rsidRPr="008D3BB2">
        <w:rPr>
          <w:sz w:val="22"/>
          <w:szCs w:val="22"/>
        </w:rPr>
        <w:t>a</w:t>
      </w:r>
      <w:r w:rsidR="0012111A" w:rsidRPr="008D3BB2">
        <w:rPr>
          <w:sz w:val="22"/>
          <w:szCs w:val="22"/>
        </w:rPr>
        <w:t>ccounts</w:t>
      </w:r>
      <w:proofErr w:type="gramEnd"/>
      <w:r w:rsidR="0012111A" w:rsidRPr="008D3BB2">
        <w:rPr>
          <w:sz w:val="22"/>
          <w:szCs w:val="22"/>
        </w:rPr>
        <w:t xml:space="preserve"> for receipts of revenue</w:t>
      </w:r>
      <w:r w:rsidRPr="008D3BB2">
        <w:rPr>
          <w:sz w:val="22"/>
          <w:szCs w:val="22"/>
        </w:rPr>
        <w:t>.</w:t>
      </w:r>
    </w:p>
    <w:p w:rsidR="00171E5E" w:rsidRPr="008B29EC" w:rsidRDefault="00046CD2" w:rsidP="008B29EC">
      <w:pPr>
        <w:pStyle w:val="Heading3"/>
        <w:rPr>
          <w:rFonts w:ascii="Arial" w:hAnsi="Arial" w:cs="Arial"/>
          <w:color w:val="auto"/>
          <w:sz w:val="20"/>
          <w:szCs w:val="20"/>
        </w:rPr>
      </w:pPr>
      <w:bookmarkStart w:id="5" w:name="_Toc456597824"/>
      <w:r w:rsidRPr="008B29EC">
        <w:rPr>
          <w:rFonts w:ascii="Arial" w:hAnsi="Arial" w:cs="Arial"/>
          <w:color w:val="auto"/>
          <w:sz w:val="20"/>
          <w:szCs w:val="20"/>
        </w:rPr>
        <w:t xml:space="preserve">Standards of </w:t>
      </w:r>
      <w:r w:rsidR="00253559" w:rsidRPr="008B29EC">
        <w:rPr>
          <w:rFonts w:ascii="Arial" w:hAnsi="Arial" w:cs="Arial"/>
          <w:color w:val="auto"/>
          <w:sz w:val="20"/>
          <w:szCs w:val="20"/>
        </w:rPr>
        <w:t>GRAP references</w:t>
      </w:r>
      <w:bookmarkEnd w:id="5"/>
    </w:p>
    <w:p w:rsidR="0012111A" w:rsidRPr="008D3BB2" w:rsidRDefault="00A3366D" w:rsidP="00FD1805">
      <w:pPr>
        <w:pStyle w:val="ListParagraph"/>
        <w:jc w:val="both"/>
        <w:rPr>
          <w:rFonts w:ascii="Arial" w:eastAsia="Arial" w:hAnsi="Arial" w:cs="Arial"/>
          <w:color w:val="000000"/>
          <w:sz w:val="22"/>
          <w:szCs w:val="22"/>
        </w:rPr>
      </w:pPr>
      <w:r w:rsidRPr="008D3BB2">
        <w:rPr>
          <w:sz w:val="22"/>
          <w:szCs w:val="22"/>
        </w:rPr>
        <w:t xml:space="preserve">Paragraph </w:t>
      </w:r>
      <w:r w:rsidR="0012111A" w:rsidRPr="008D3BB2">
        <w:rPr>
          <w:sz w:val="22"/>
          <w:szCs w:val="22"/>
        </w:rPr>
        <w:t>12</w:t>
      </w:r>
      <w:r w:rsidR="00F6116E" w:rsidRPr="008D3BB2">
        <w:rPr>
          <w:sz w:val="22"/>
          <w:szCs w:val="22"/>
        </w:rPr>
        <w:t xml:space="preserve"> of </w:t>
      </w:r>
      <w:r w:rsidR="00046CD2" w:rsidRPr="008D3BB2">
        <w:rPr>
          <w:sz w:val="22"/>
          <w:szCs w:val="22"/>
        </w:rPr>
        <w:t xml:space="preserve">Standards of </w:t>
      </w:r>
      <w:r w:rsidR="00F6116E" w:rsidRPr="008D3BB2">
        <w:rPr>
          <w:sz w:val="22"/>
          <w:szCs w:val="22"/>
        </w:rPr>
        <w:t xml:space="preserve">GRAP </w:t>
      </w:r>
      <w:r w:rsidR="0012111A" w:rsidRPr="008D3BB2">
        <w:rPr>
          <w:sz w:val="22"/>
          <w:szCs w:val="22"/>
        </w:rPr>
        <w:t xml:space="preserve">9 </w:t>
      </w:r>
      <w:r w:rsidR="00046CD2" w:rsidRPr="008D3BB2">
        <w:rPr>
          <w:sz w:val="22"/>
          <w:szCs w:val="22"/>
        </w:rPr>
        <w:t xml:space="preserve">on </w:t>
      </w:r>
      <w:r w:rsidR="0012111A" w:rsidRPr="008D3BB2">
        <w:rPr>
          <w:sz w:val="22"/>
          <w:szCs w:val="22"/>
        </w:rPr>
        <w:t>Revenue from Exchange Transactions</w:t>
      </w:r>
      <w:r w:rsidR="00EA1F3B" w:rsidRPr="008D3BB2">
        <w:rPr>
          <w:sz w:val="22"/>
          <w:szCs w:val="22"/>
        </w:rPr>
        <w:t xml:space="preserve"> </w:t>
      </w:r>
      <w:r w:rsidRPr="008D3BB2">
        <w:rPr>
          <w:sz w:val="22"/>
          <w:szCs w:val="22"/>
        </w:rPr>
        <w:t>defines</w:t>
      </w:r>
      <w:r w:rsidR="00046CD2" w:rsidRPr="008D3BB2">
        <w:rPr>
          <w:sz w:val="22"/>
          <w:szCs w:val="22"/>
        </w:rPr>
        <w:t>:</w:t>
      </w:r>
    </w:p>
    <w:p w:rsidR="0012111A" w:rsidRDefault="0012111A" w:rsidP="00FD1805">
      <w:pPr>
        <w:ind w:left="851"/>
        <w:jc w:val="both"/>
        <w:rPr>
          <w:rFonts w:eastAsia="Arial"/>
        </w:rPr>
      </w:pPr>
      <w:r w:rsidRPr="00046CD2">
        <w:rPr>
          <w:b/>
          <w:bCs/>
        </w:rPr>
        <w:t>“</w:t>
      </w:r>
      <w:r w:rsidRPr="00046CD2">
        <w:rPr>
          <w:rFonts w:eastAsia="Arial"/>
          <w:b/>
          <w:bCs/>
        </w:rPr>
        <w:t xml:space="preserve">Exchange </w:t>
      </w:r>
      <w:r w:rsidRPr="00046CD2">
        <w:rPr>
          <w:rFonts w:eastAsia="Arial"/>
        </w:rPr>
        <w:t>transactions are transactions in which one entity receives assets or services, or has liabilities extinguished, and directly gives approximately equal value (primarily in the form of cash, goods, services, or use of assets) to another entity in exchange.”</w:t>
      </w:r>
    </w:p>
    <w:p w:rsidR="00046CD2" w:rsidRPr="008D3BB2" w:rsidRDefault="00046CD2" w:rsidP="00FD1805">
      <w:pPr>
        <w:pStyle w:val="ListParagraph"/>
        <w:jc w:val="both"/>
        <w:rPr>
          <w:rFonts w:eastAsia="Arial"/>
          <w:sz w:val="22"/>
          <w:szCs w:val="22"/>
        </w:rPr>
      </w:pPr>
      <w:r w:rsidRPr="008D3BB2">
        <w:rPr>
          <w:rFonts w:eastAsia="Arial"/>
          <w:sz w:val="22"/>
          <w:szCs w:val="22"/>
        </w:rPr>
        <w:t>Paragraph 5 of the Standards of GRAP 23 on Revenue from Non-exchange Transactions defines:</w:t>
      </w:r>
    </w:p>
    <w:p w:rsidR="0012111A" w:rsidRDefault="0012111A" w:rsidP="00FD1805">
      <w:pPr>
        <w:ind w:left="851"/>
        <w:jc w:val="both"/>
        <w:rPr>
          <w:rFonts w:eastAsia="Arial"/>
        </w:rPr>
      </w:pPr>
      <w:r w:rsidRPr="00046CD2">
        <w:rPr>
          <w:rFonts w:eastAsia="Arial"/>
          <w:b/>
          <w:bCs/>
        </w:rPr>
        <w:t>Non-exchange transactions</w:t>
      </w:r>
      <w:r w:rsidRPr="00046CD2">
        <w:rPr>
          <w:rFonts w:eastAsia="Arial"/>
        </w:rPr>
        <w:t xml:space="preserve"> are transactions that are not exchange transactions. </w:t>
      </w:r>
      <w:r w:rsidR="0031210D">
        <w:rPr>
          <w:rFonts w:eastAsia="Arial"/>
        </w:rPr>
        <w:t xml:space="preserve"> </w:t>
      </w:r>
      <w:r w:rsidRPr="00046CD2">
        <w:rPr>
          <w:rFonts w:eastAsia="Arial"/>
        </w:rPr>
        <w:t xml:space="preserve">In a non-exchange transaction, an entity either receives value from another entity without directly giving approximately equal value in exchange, or gives value to another entity without directly receiving approximately equal value in exchange. </w:t>
      </w:r>
    </w:p>
    <w:p w:rsidR="00046CD2" w:rsidRPr="008D3BB2" w:rsidRDefault="0031210D" w:rsidP="00FD1805">
      <w:pPr>
        <w:pStyle w:val="ListParagraph"/>
        <w:jc w:val="both"/>
        <w:rPr>
          <w:sz w:val="22"/>
          <w:szCs w:val="22"/>
        </w:rPr>
      </w:pPr>
      <w:r w:rsidRPr="008D3BB2">
        <w:rPr>
          <w:sz w:val="22"/>
          <w:szCs w:val="22"/>
        </w:rPr>
        <w:t xml:space="preserve">the Standards of </w:t>
      </w:r>
      <w:r w:rsidRPr="008D3BB2">
        <w:rPr>
          <w:rStyle w:val="FootnoteReference"/>
          <w:sz w:val="22"/>
          <w:szCs w:val="22"/>
        </w:rPr>
        <w:footnoteReference w:id="1"/>
      </w:r>
      <w:r w:rsidRPr="008D3BB2">
        <w:rPr>
          <w:sz w:val="22"/>
          <w:szCs w:val="22"/>
        </w:rPr>
        <w:t>GRAP 108 on Statutory Receivables defines:</w:t>
      </w:r>
    </w:p>
    <w:p w:rsidR="0031210D" w:rsidRDefault="00223CE7" w:rsidP="00FD1805">
      <w:pPr>
        <w:ind w:left="851"/>
        <w:jc w:val="both"/>
      </w:pPr>
      <w:r>
        <w:t xml:space="preserve">Paragraph 5:  </w:t>
      </w:r>
      <w:r w:rsidR="0031210D" w:rsidRPr="00B94038">
        <w:rPr>
          <w:b/>
        </w:rPr>
        <w:t xml:space="preserve">Statutory receivables </w:t>
      </w:r>
      <w:r w:rsidR="0031210D" w:rsidRPr="00B94038">
        <w:t>are receivables that:</w:t>
      </w:r>
      <w:r w:rsidR="0031210D">
        <w:t xml:space="preserve">  </w:t>
      </w:r>
    </w:p>
    <w:p w:rsidR="0031210D" w:rsidRDefault="0031210D" w:rsidP="00FD1805">
      <w:pPr>
        <w:ind w:left="851"/>
        <w:jc w:val="both"/>
      </w:pPr>
      <w:r w:rsidRPr="00B94038">
        <w:t xml:space="preserve">(a) </w:t>
      </w:r>
      <w:proofErr w:type="gramStart"/>
      <w:r w:rsidRPr="00B94038">
        <w:t>arise</w:t>
      </w:r>
      <w:proofErr w:type="gramEnd"/>
      <w:r w:rsidRPr="00B94038">
        <w:t xml:space="preserve"> from legislation, supporting regulations, or similar means; and</w:t>
      </w:r>
      <w:r>
        <w:t xml:space="preserve"> </w:t>
      </w:r>
    </w:p>
    <w:p w:rsidR="0031210D" w:rsidRDefault="0031210D" w:rsidP="00FD1805">
      <w:pPr>
        <w:ind w:left="851"/>
        <w:jc w:val="both"/>
      </w:pPr>
      <w:r w:rsidRPr="00B94038">
        <w:t xml:space="preserve">(b) </w:t>
      </w:r>
      <w:proofErr w:type="gramStart"/>
      <w:r w:rsidRPr="00B94038">
        <w:t>require</w:t>
      </w:r>
      <w:proofErr w:type="gramEnd"/>
      <w:r w:rsidRPr="00B94038">
        <w:t xml:space="preserve"> settlement by another entity in cash or another financial asset</w:t>
      </w:r>
    </w:p>
    <w:p w:rsidR="00223CE7" w:rsidRPr="00223CE7" w:rsidRDefault="00223CE7" w:rsidP="00FD1805">
      <w:pPr>
        <w:ind w:left="851"/>
        <w:jc w:val="both"/>
      </w:pPr>
      <w:r w:rsidRPr="005C249E">
        <w:rPr>
          <w:bCs/>
          <w:iCs/>
          <w:color w:val="000000"/>
        </w:rPr>
        <w:t>Paragraph 4:  Statutory receivables can arise from both exchange and non-exchange transactions.</w:t>
      </w:r>
      <w:r w:rsidR="00C740C3">
        <w:rPr>
          <w:bCs/>
          <w:iCs/>
          <w:color w:val="000000"/>
        </w:rPr>
        <w:t xml:space="preserve"> </w:t>
      </w:r>
      <w:r w:rsidRPr="005C249E">
        <w:rPr>
          <w:bCs/>
          <w:iCs/>
          <w:color w:val="000000"/>
        </w:rPr>
        <w:t xml:space="preserve"> Where these receivables arise from exchange and non-exchange revenue transactions, an entity shall apply the recognition and initial measurement requirements of </w:t>
      </w:r>
      <w:r w:rsidRPr="005C249E">
        <w:rPr>
          <w:bCs/>
          <w:iCs/>
          <w:color w:val="000000"/>
        </w:rPr>
        <w:lastRenderedPageBreak/>
        <w:t>the Standards of GRAP on Revenue from Exchange Transactions and Revenue from Non-exchange Transactions (Taxes and Transfers), as well as the requirements of this Standard.</w:t>
      </w:r>
    </w:p>
    <w:p w:rsidR="00513D2B" w:rsidRPr="008B29EC" w:rsidRDefault="00513D2B" w:rsidP="008B29EC">
      <w:pPr>
        <w:pStyle w:val="Heading3"/>
        <w:rPr>
          <w:rFonts w:ascii="Arial" w:hAnsi="Arial" w:cs="Arial"/>
          <w:color w:val="auto"/>
          <w:sz w:val="20"/>
          <w:szCs w:val="20"/>
        </w:rPr>
      </w:pPr>
      <w:bookmarkStart w:id="6" w:name="_Toc456597825"/>
      <w:r w:rsidRPr="008B29EC">
        <w:rPr>
          <w:rFonts w:ascii="Arial" w:hAnsi="Arial" w:cs="Arial"/>
          <w:color w:val="auto"/>
          <w:sz w:val="20"/>
          <w:szCs w:val="20"/>
        </w:rPr>
        <w:t>ASB Frequently Asked Questions</w:t>
      </w:r>
      <w:bookmarkEnd w:id="6"/>
    </w:p>
    <w:p w:rsidR="00513D2B" w:rsidRPr="008D3BB2" w:rsidRDefault="00513D2B" w:rsidP="00FD1805">
      <w:pPr>
        <w:pStyle w:val="ListParagraph"/>
        <w:jc w:val="both"/>
        <w:rPr>
          <w:sz w:val="22"/>
          <w:szCs w:val="22"/>
        </w:rPr>
      </w:pPr>
      <w:r w:rsidRPr="008D3BB2">
        <w:rPr>
          <w:sz w:val="22"/>
          <w:szCs w:val="22"/>
        </w:rPr>
        <w:t>4.2 Should revenue received from license fees and similar transactions be accounted for as exchange or non-exchange revenue by the issuer?</w:t>
      </w:r>
    </w:p>
    <w:p w:rsidR="00513D2B" w:rsidRPr="008D3BB2" w:rsidRDefault="00513D2B" w:rsidP="00FD1805">
      <w:pPr>
        <w:pStyle w:val="ListParagraph"/>
        <w:jc w:val="both"/>
        <w:rPr>
          <w:sz w:val="22"/>
          <w:szCs w:val="22"/>
        </w:rPr>
      </w:pPr>
      <w:r w:rsidRPr="008D3BB2">
        <w:rPr>
          <w:sz w:val="22"/>
          <w:szCs w:val="22"/>
        </w:rPr>
        <w:t>Public sector entities frequently issue licenses to undertake certain activi</w:t>
      </w:r>
      <w:r w:rsidR="00E006F7" w:rsidRPr="008D3BB2">
        <w:rPr>
          <w:sz w:val="22"/>
          <w:szCs w:val="22"/>
        </w:rPr>
        <w:t xml:space="preserve">ties or operate certain assets, </w:t>
      </w:r>
      <w:r w:rsidRPr="008D3BB2">
        <w:rPr>
          <w:sz w:val="22"/>
          <w:szCs w:val="22"/>
        </w:rPr>
        <w:t>e.g. motor vehicle, drivers’, fishing,</w:t>
      </w:r>
      <w:r w:rsidR="00E006F7" w:rsidRPr="008D3BB2">
        <w:rPr>
          <w:sz w:val="22"/>
          <w:szCs w:val="22"/>
        </w:rPr>
        <w:t xml:space="preserve"> gambling and similar licenses. </w:t>
      </w:r>
      <w:r w:rsidRPr="008D3BB2">
        <w:rPr>
          <w:sz w:val="22"/>
          <w:szCs w:val="22"/>
        </w:rPr>
        <w:t>For purposes of the discussion that follows, the entity issuing the license is the issuer and the entity</w:t>
      </w:r>
      <w:r w:rsidR="00E5119C" w:rsidRPr="008D3BB2">
        <w:rPr>
          <w:sz w:val="22"/>
          <w:szCs w:val="22"/>
        </w:rPr>
        <w:t xml:space="preserve"> </w:t>
      </w:r>
      <w:r w:rsidRPr="008D3BB2">
        <w:rPr>
          <w:sz w:val="22"/>
          <w:szCs w:val="22"/>
        </w:rPr>
        <w:t>receiving the license is the license holder.</w:t>
      </w:r>
    </w:p>
    <w:p w:rsidR="00513D2B" w:rsidRPr="008D3BB2" w:rsidRDefault="00513D2B" w:rsidP="00FD1805">
      <w:pPr>
        <w:pStyle w:val="ListParagraph"/>
        <w:jc w:val="both"/>
        <w:rPr>
          <w:sz w:val="22"/>
          <w:szCs w:val="22"/>
        </w:rPr>
      </w:pPr>
      <w:r w:rsidRPr="008D3BB2">
        <w:rPr>
          <w:sz w:val="22"/>
          <w:szCs w:val="22"/>
        </w:rPr>
        <w:t>For the issuer of licenses, the consideration received can either be treated as exchange or non</w:t>
      </w:r>
      <w:r w:rsidR="00E5119C" w:rsidRPr="008D3BB2">
        <w:rPr>
          <w:sz w:val="22"/>
          <w:szCs w:val="22"/>
        </w:rPr>
        <w:t>-</w:t>
      </w:r>
      <w:r w:rsidRPr="008D3BB2">
        <w:rPr>
          <w:sz w:val="22"/>
          <w:szCs w:val="22"/>
        </w:rPr>
        <w:t>exchange</w:t>
      </w:r>
      <w:r w:rsidR="00E5119C" w:rsidRPr="008D3BB2">
        <w:rPr>
          <w:sz w:val="22"/>
          <w:szCs w:val="22"/>
        </w:rPr>
        <w:t xml:space="preserve"> </w:t>
      </w:r>
      <w:r w:rsidRPr="008D3BB2">
        <w:rPr>
          <w:sz w:val="22"/>
          <w:szCs w:val="22"/>
        </w:rPr>
        <w:t xml:space="preserve">revenue. </w:t>
      </w:r>
      <w:r w:rsidR="00263364" w:rsidRPr="008D3BB2">
        <w:rPr>
          <w:sz w:val="22"/>
          <w:szCs w:val="22"/>
        </w:rPr>
        <w:t xml:space="preserve"> </w:t>
      </w:r>
      <w:r w:rsidRPr="008D3BB2">
        <w:rPr>
          <w:sz w:val="22"/>
          <w:szCs w:val="22"/>
        </w:rPr>
        <w:t>Whether the revenue is exchange or</w:t>
      </w:r>
      <w:r w:rsidRPr="00E5119C">
        <w:t xml:space="preserve"> </w:t>
      </w:r>
      <w:r w:rsidRPr="008D3BB2">
        <w:rPr>
          <w:sz w:val="22"/>
          <w:szCs w:val="22"/>
        </w:rPr>
        <w:t>non-exchange in nature depends on the</w:t>
      </w:r>
      <w:r w:rsidR="00E5119C" w:rsidRPr="008D3BB2">
        <w:rPr>
          <w:sz w:val="22"/>
          <w:szCs w:val="22"/>
        </w:rPr>
        <w:t xml:space="preserve"> </w:t>
      </w:r>
      <w:r w:rsidRPr="008D3BB2">
        <w:rPr>
          <w:sz w:val="22"/>
          <w:szCs w:val="22"/>
        </w:rPr>
        <w:t>nature and circumstances of the transaction.</w:t>
      </w:r>
    </w:p>
    <w:p w:rsidR="00513D2B" w:rsidRPr="008D3BB2" w:rsidRDefault="00513D2B" w:rsidP="00FD1805">
      <w:pPr>
        <w:pStyle w:val="ListParagraph"/>
        <w:jc w:val="both"/>
        <w:rPr>
          <w:sz w:val="22"/>
          <w:szCs w:val="22"/>
        </w:rPr>
      </w:pPr>
      <w:r w:rsidRPr="008D3BB2">
        <w:rPr>
          <w:sz w:val="22"/>
          <w:szCs w:val="22"/>
        </w:rPr>
        <w:t>In formulating an appropriate accounting treatment, the following steps should be considered:</w:t>
      </w:r>
    </w:p>
    <w:p w:rsidR="00513D2B" w:rsidRPr="008D3BB2" w:rsidRDefault="00513D2B" w:rsidP="00FD1805">
      <w:pPr>
        <w:pStyle w:val="ListParagraph"/>
        <w:numPr>
          <w:ilvl w:val="0"/>
          <w:numId w:val="37"/>
        </w:numPr>
        <w:jc w:val="both"/>
        <w:rPr>
          <w:sz w:val="22"/>
          <w:szCs w:val="22"/>
        </w:rPr>
      </w:pPr>
      <w:r w:rsidRPr="008D3BB2">
        <w:rPr>
          <w:sz w:val="22"/>
          <w:szCs w:val="22"/>
        </w:rPr>
        <w:t>Whether the entity acts as an agent or a principal.</w:t>
      </w:r>
    </w:p>
    <w:p w:rsidR="00513D2B" w:rsidRPr="008D3BB2" w:rsidRDefault="00513D2B" w:rsidP="00FD1805">
      <w:pPr>
        <w:pStyle w:val="ListParagraph"/>
        <w:numPr>
          <w:ilvl w:val="0"/>
          <w:numId w:val="37"/>
        </w:numPr>
        <w:jc w:val="both"/>
        <w:rPr>
          <w:sz w:val="22"/>
          <w:szCs w:val="22"/>
        </w:rPr>
      </w:pPr>
      <w:r w:rsidRPr="008D3BB2">
        <w:rPr>
          <w:sz w:val="22"/>
          <w:szCs w:val="22"/>
        </w:rPr>
        <w:t>The definitions of exchange and non-exchange transactions.</w:t>
      </w:r>
    </w:p>
    <w:p w:rsidR="00513D2B" w:rsidRPr="00B94038" w:rsidRDefault="00513D2B" w:rsidP="00FD1805">
      <w:pPr>
        <w:ind w:left="851"/>
        <w:jc w:val="both"/>
        <w:rPr>
          <w:b/>
        </w:rPr>
      </w:pPr>
      <w:r w:rsidRPr="00B94038">
        <w:rPr>
          <w:b/>
        </w:rPr>
        <w:t>Step 1: Agent or principal</w:t>
      </w:r>
    </w:p>
    <w:p w:rsidR="00513D2B" w:rsidRPr="00E5119C" w:rsidRDefault="00513D2B" w:rsidP="00FD1805">
      <w:pPr>
        <w:ind w:left="851"/>
        <w:jc w:val="both"/>
      </w:pPr>
      <w:r w:rsidRPr="00E5119C">
        <w:t xml:space="preserve">An entity should firstly assess whether it acts as an agent or a principal in such arrangements. </w:t>
      </w:r>
      <w:r w:rsidR="0031210D">
        <w:t xml:space="preserve"> </w:t>
      </w:r>
      <w:r w:rsidRPr="00E5119C">
        <w:t>In</w:t>
      </w:r>
      <w:r w:rsidR="00E5119C" w:rsidRPr="2F39E838">
        <w:t xml:space="preserve"> </w:t>
      </w:r>
      <w:r w:rsidRPr="00E5119C">
        <w:t xml:space="preserve">making this assessment, it uses the principles in </w:t>
      </w:r>
      <w:r w:rsidR="0031210D">
        <w:rPr>
          <w:rStyle w:val="FootnoteReference"/>
        </w:rPr>
        <w:footnoteReference w:id="2"/>
      </w:r>
      <w:r w:rsidRPr="00E5119C">
        <w:t xml:space="preserve">GRAP </w:t>
      </w:r>
      <w:r w:rsidR="0031210D">
        <w:t xml:space="preserve">109 on Accounting by Principles and Agents.  </w:t>
      </w:r>
      <w:r w:rsidRPr="00E5119C">
        <w:t>9 Revenue from Exchange Transactions.</w:t>
      </w:r>
    </w:p>
    <w:p w:rsidR="00513D2B" w:rsidRPr="00046CD2" w:rsidRDefault="00513D2B" w:rsidP="00FD1805">
      <w:pPr>
        <w:ind w:left="851"/>
        <w:jc w:val="both"/>
        <w:rPr>
          <w:rFonts w:ascii="Arial" w:hAnsi="Arial" w:cs="Arial"/>
          <w:sz w:val="20"/>
          <w:szCs w:val="20"/>
        </w:rPr>
      </w:pPr>
      <w:r w:rsidRPr="00E5119C">
        <w:t xml:space="preserve">When an entity acts as the principle and is the issuer of the license, it considers </w:t>
      </w:r>
      <w:r w:rsidR="0077460C">
        <w:t>S</w:t>
      </w:r>
      <w:r w:rsidRPr="00E5119C">
        <w:t>tep 2 below</w:t>
      </w:r>
      <w:r w:rsidRPr="00B94038">
        <w:rPr>
          <w:rFonts w:ascii="Arial" w:eastAsia="Arial" w:hAnsi="Arial" w:cs="Arial"/>
          <w:sz w:val="20"/>
          <w:szCs w:val="20"/>
        </w:rPr>
        <w:t>.</w:t>
      </w:r>
    </w:p>
    <w:p w:rsidR="00513D2B" w:rsidRPr="00B94038" w:rsidRDefault="00513D2B" w:rsidP="00FD1805">
      <w:pPr>
        <w:ind w:left="851"/>
        <w:jc w:val="both"/>
        <w:rPr>
          <w:b/>
        </w:rPr>
      </w:pPr>
      <w:r w:rsidRPr="00B94038">
        <w:rPr>
          <w:b/>
        </w:rPr>
        <w:t>Step 2: Exchange or non-exchange revenue</w:t>
      </w:r>
    </w:p>
    <w:p w:rsidR="0031210D" w:rsidRDefault="0031210D" w:rsidP="00FD1805">
      <w:pPr>
        <w:ind w:left="851"/>
        <w:jc w:val="both"/>
        <w:rPr>
          <w:rFonts w:eastAsia="Arial"/>
        </w:rPr>
      </w:pPr>
      <w:r>
        <w:rPr>
          <w:rFonts w:eastAsia="Arial"/>
        </w:rPr>
        <w:t>Where an issuer concludes that it acts as principal in the arrangement, it should consider the definitions of both exchange and non-exchange transactions, defined as follows in the Standards of GRAP:</w:t>
      </w:r>
    </w:p>
    <w:p w:rsidR="00720BC8" w:rsidRDefault="00720BC8" w:rsidP="00FD1805">
      <w:pPr>
        <w:ind w:left="851"/>
        <w:jc w:val="both"/>
        <w:rPr>
          <w:color w:val="000000"/>
          <w:sz w:val="18"/>
          <w:szCs w:val="18"/>
        </w:rPr>
      </w:pPr>
      <w:r w:rsidRPr="00B94038">
        <w:rPr>
          <w:b/>
          <w:color w:val="000000"/>
          <w:sz w:val="18"/>
          <w:szCs w:val="18"/>
        </w:rPr>
        <w:t>Exchange transactions</w:t>
      </w:r>
      <w:r>
        <w:rPr>
          <w:color w:val="000000"/>
          <w:sz w:val="18"/>
          <w:szCs w:val="18"/>
        </w:rPr>
        <w:t xml:space="preserve"> are transactions in which one entity receives assets or services, or has liabilities extinguished, and directly gives approximately equal value (primarily in the form of cash, goods, services, or use of assets) to another entity in exchange.</w:t>
      </w:r>
    </w:p>
    <w:p w:rsidR="00720BC8" w:rsidRPr="00B94038" w:rsidRDefault="00720BC8" w:rsidP="00FD1805">
      <w:pPr>
        <w:ind w:left="851"/>
        <w:jc w:val="both"/>
        <w:rPr>
          <w:rFonts w:cs="Arial"/>
          <w:color w:val="000000"/>
          <w:sz w:val="18"/>
          <w:szCs w:val="18"/>
        </w:rPr>
      </w:pPr>
      <w:r w:rsidRPr="00B94038">
        <w:rPr>
          <w:b/>
          <w:color w:val="000000"/>
          <w:sz w:val="18"/>
          <w:szCs w:val="18"/>
        </w:rPr>
        <w:t>Non-exchange transactions</w:t>
      </w:r>
      <w:r w:rsidRPr="00720BC8">
        <w:rPr>
          <w:color w:val="000000"/>
          <w:sz w:val="18"/>
          <w:szCs w:val="18"/>
        </w:rPr>
        <w:t xml:space="preserve"> are transactions that are not exchange transactions.  In a non-exchange transaction, an entity either receives value from another entity without directly giving approximately equal value in exchange (i.e. non-exchange revenue), or gives value to another entity without directly receiving approximately equal value in exchange (i.e. non-exchange </w:t>
      </w:r>
      <w:r w:rsidRPr="00B94038">
        <w:rPr>
          <w:rFonts w:cs="Arial"/>
          <w:color w:val="000000"/>
          <w:sz w:val="18"/>
          <w:szCs w:val="18"/>
        </w:rPr>
        <w:t>transactions such as social benefit transactions).”</w:t>
      </w:r>
    </w:p>
    <w:p w:rsidR="00720BC8" w:rsidRPr="00B94038" w:rsidRDefault="00720BC8" w:rsidP="00FD1805">
      <w:pPr>
        <w:ind w:left="851"/>
        <w:jc w:val="both"/>
        <w:rPr>
          <w:rFonts w:cs="Arial"/>
          <w:color w:val="000000"/>
        </w:rPr>
      </w:pPr>
      <w:r w:rsidRPr="00B94038">
        <w:rPr>
          <w:rFonts w:cs="Arial"/>
          <w:color w:val="000000"/>
        </w:rPr>
        <w:t>In determining whether the revenue is exchange or non-exchange revenue, the following is important:</w:t>
      </w:r>
    </w:p>
    <w:p w:rsidR="00720BC8" w:rsidRDefault="00074900" w:rsidP="00FD1805">
      <w:pPr>
        <w:pStyle w:val="StepBulletSmall"/>
        <w:jc w:val="both"/>
      </w:pPr>
      <w:r w:rsidRPr="00B94038">
        <w:t xml:space="preserve">Whether the issuer provides goods and services directly to the licence holder in </w:t>
      </w:r>
      <w:r>
        <w:t>return</w:t>
      </w:r>
      <w:r w:rsidRPr="00B94038">
        <w:t xml:space="preserve"> </w:t>
      </w:r>
      <w:r>
        <w:t>for the consideration received.</w:t>
      </w:r>
    </w:p>
    <w:p w:rsidR="00450306" w:rsidRPr="00B94038" w:rsidRDefault="00450306" w:rsidP="00FD1805">
      <w:pPr>
        <w:pStyle w:val="ListParagraph"/>
        <w:numPr>
          <w:ilvl w:val="0"/>
          <w:numId w:val="41"/>
        </w:numPr>
        <w:jc w:val="both"/>
        <w:rPr>
          <w:sz w:val="22"/>
          <w:szCs w:val="22"/>
        </w:rPr>
      </w:pPr>
      <w:r>
        <w:rPr>
          <w:sz w:val="22"/>
          <w:szCs w:val="22"/>
        </w:rPr>
        <w:t>The value of the goods and services provided in relation to the consideration received.</w:t>
      </w:r>
    </w:p>
    <w:p w:rsidR="00C91CC5" w:rsidRDefault="00C91CC5" w:rsidP="00FD1805">
      <w:pPr>
        <w:ind w:left="851"/>
        <w:jc w:val="both"/>
        <w:rPr>
          <w:i/>
          <w:iCs/>
          <w:color w:val="000000"/>
        </w:rPr>
      </w:pPr>
      <w:r w:rsidRPr="00B94038">
        <w:rPr>
          <w:i/>
          <w:iCs/>
          <w:color w:val="000000"/>
        </w:rPr>
        <w:t>Consideration received by the issuer</w:t>
      </w:r>
    </w:p>
    <w:p w:rsidR="00C91CC5" w:rsidRDefault="00C91CC5" w:rsidP="00FD1805">
      <w:pPr>
        <w:ind w:left="851"/>
        <w:jc w:val="both"/>
        <w:rPr>
          <w:color w:val="000000"/>
        </w:rPr>
      </w:pPr>
      <w:r w:rsidRPr="00B94038">
        <w:rPr>
          <w:color w:val="000000"/>
        </w:rPr>
        <w:t>The extent of the consideration received by the issuer for the goods and/or services provided may also</w:t>
      </w:r>
      <w:r>
        <w:rPr>
          <w:color w:val="000000"/>
        </w:rPr>
        <w:t xml:space="preserve"> </w:t>
      </w:r>
      <w:r w:rsidRPr="00B94038">
        <w:rPr>
          <w:color w:val="000000"/>
        </w:rPr>
        <w:t xml:space="preserve">vary from arrangement to arrangement. </w:t>
      </w:r>
      <w:r>
        <w:rPr>
          <w:color w:val="000000"/>
        </w:rPr>
        <w:t xml:space="preserve"> </w:t>
      </w:r>
      <w:r w:rsidRPr="00B94038">
        <w:rPr>
          <w:color w:val="000000"/>
        </w:rPr>
        <w:t>The issuer should therefore consider the value of the goods</w:t>
      </w:r>
      <w:r>
        <w:rPr>
          <w:color w:val="000000"/>
        </w:rPr>
        <w:t xml:space="preserve"> </w:t>
      </w:r>
      <w:r w:rsidRPr="00B94038">
        <w:rPr>
          <w:color w:val="000000"/>
        </w:rPr>
        <w:t>and/or services provided in relation to the consideration received in assessing whether the transaction</w:t>
      </w:r>
      <w:r>
        <w:rPr>
          <w:color w:val="000000"/>
        </w:rPr>
        <w:t xml:space="preserve"> </w:t>
      </w:r>
      <w:r w:rsidRPr="00B94038">
        <w:rPr>
          <w:color w:val="000000"/>
        </w:rPr>
        <w:t>results in exchange or non-exchange revenue, using the following basic principle (based on the</w:t>
      </w:r>
      <w:r>
        <w:rPr>
          <w:color w:val="000000"/>
        </w:rPr>
        <w:t xml:space="preserve"> </w:t>
      </w:r>
      <w:r w:rsidRPr="00B94038">
        <w:rPr>
          <w:color w:val="000000"/>
        </w:rPr>
        <w:t xml:space="preserve">definition of exchange and non-exchange transactions): </w:t>
      </w:r>
    </w:p>
    <w:p w:rsidR="00450306" w:rsidRDefault="00C91CC5" w:rsidP="00FD1805">
      <w:pPr>
        <w:pStyle w:val="StepBulletSmall"/>
        <w:jc w:val="both"/>
      </w:pPr>
      <w:r w:rsidRPr="00B94038">
        <w:t>Where the consideration received by the issuer is significantly greater than the fair value of the</w:t>
      </w:r>
      <w:r>
        <w:t xml:space="preserve"> </w:t>
      </w:r>
      <w:r w:rsidRPr="00B94038">
        <w:t>goods and/or services provided, the revenue could be non-exchange revenue as it may be tax</w:t>
      </w:r>
      <w:r>
        <w:t xml:space="preserve"> </w:t>
      </w:r>
      <w:r w:rsidRPr="00B94038">
        <w:t>or similar revenue (the issuer has received consideration and not provided approximately equal</w:t>
      </w:r>
      <w:r>
        <w:t xml:space="preserve"> </w:t>
      </w:r>
      <w:r w:rsidRPr="00B94038">
        <w:t>value in return)</w:t>
      </w:r>
      <w:r w:rsidR="00713905">
        <w:t>.</w:t>
      </w:r>
    </w:p>
    <w:p w:rsidR="00C91CC5" w:rsidRDefault="00C91CC5" w:rsidP="00FD1805">
      <w:pPr>
        <w:pStyle w:val="StepBulletSmall"/>
        <w:jc w:val="both"/>
      </w:pPr>
      <w:r w:rsidRPr="00B94038">
        <w:t>Where the consideration received by the issuer is less than the goods and/or services provided,</w:t>
      </w:r>
      <w:r>
        <w:t xml:space="preserve"> </w:t>
      </w:r>
      <w:r w:rsidRPr="00B94038">
        <w:t xml:space="preserve">the revenue could be exchange revenue. </w:t>
      </w:r>
      <w:r>
        <w:t xml:space="preserve"> </w:t>
      </w:r>
      <w:r w:rsidRPr="00B94038">
        <w:t>Any foregone revenue may be indicative of the</w:t>
      </w:r>
      <w:r>
        <w:t xml:space="preserve"> </w:t>
      </w:r>
      <w:r w:rsidRPr="00B94038">
        <w:t>provisions of a social benefit (the issuer has provided goods and/or services and has not</w:t>
      </w:r>
      <w:r>
        <w:t xml:space="preserve"> </w:t>
      </w:r>
      <w:r w:rsidRPr="00B94038">
        <w:t>received approximately equal value in return).</w:t>
      </w:r>
      <w:r>
        <w:t xml:space="preserve">  </w:t>
      </w:r>
    </w:p>
    <w:p w:rsidR="00720BC8" w:rsidRDefault="00C91CC5" w:rsidP="00FD1805">
      <w:pPr>
        <w:ind w:left="851"/>
        <w:jc w:val="both"/>
      </w:pPr>
      <w:r w:rsidRPr="00B94038">
        <w:rPr>
          <w:color w:val="000000"/>
        </w:rPr>
        <w:t>The following decision tree may be useful in classifying revenue received by issuers of licenses,</w:t>
      </w:r>
      <w:r>
        <w:rPr>
          <w:color w:val="000000"/>
        </w:rPr>
        <w:t xml:space="preserve"> </w:t>
      </w:r>
      <w:r w:rsidRPr="00B94038">
        <w:rPr>
          <w:color w:val="000000"/>
        </w:rPr>
        <w:t>particularly in relation to revenue from compulsory or legislated receipts</w:t>
      </w:r>
      <w:proofErr w:type="gramStart"/>
      <w:r w:rsidRPr="00B94038">
        <w:rPr>
          <w:color w:val="000000"/>
        </w:rPr>
        <w:t>:</w:t>
      </w:r>
      <w:r>
        <w:rPr>
          <w:rFonts w:ascii="Symbol" w:hAnsi="Symbol"/>
          <w:color w:val="000000"/>
          <w:sz w:val="12"/>
          <w:szCs w:val="12"/>
        </w:rPr>
        <w:t></w:t>
      </w:r>
      <w:proofErr w:type="gramEnd"/>
    </w:p>
    <w:p w:rsidR="00C91CC5" w:rsidRDefault="00C91CC5" w:rsidP="00FD1805">
      <w:pPr>
        <w:ind w:left="851"/>
        <w:jc w:val="both"/>
      </w:pPr>
    </w:p>
    <w:p w:rsidR="005B5357" w:rsidRDefault="005B5357" w:rsidP="00FD1805">
      <w:pPr>
        <w:ind w:left="851"/>
        <w:jc w:val="both"/>
        <w:sectPr w:rsidR="005B5357" w:rsidSect="007677C6">
          <w:pgSz w:w="11906" w:h="16838"/>
          <w:pgMar w:top="1440" w:right="1440" w:bottom="1440" w:left="1440" w:header="708" w:footer="708" w:gutter="0"/>
          <w:cols w:space="708"/>
          <w:docGrid w:linePitch="360"/>
        </w:sectPr>
      </w:pPr>
    </w:p>
    <w:tbl>
      <w:tblPr>
        <w:tblW w:w="0" w:type="auto"/>
        <w:tblInd w:w="851" w:type="dxa"/>
        <w:tblLook w:val="04A0" w:firstRow="1" w:lastRow="0" w:firstColumn="1" w:lastColumn="0" w:noHBand="0" w:noVBand="1"/>
      </w:tblPr>
      <w:tblGrid>
        <w:gridCol w:w="1272"/>
        <w:gridCol w:w="968"/>
        <w:gridCol w:w="984"/>
        <w:gridCol w:w="1010"/>
        <w:gridCol w:w="981"/>
        <w:gridCol w:w="969"/>
        <w:gridCol w:w="1009"/>
        <w:gridCol w:w="982"/>
      </w:tblGrid>
      <w:tr w:rsidR="00E25450" w:rsidRPr="00FD1805" w:rsidTr="00FD1805">
        <w:tc>
          <w:tcPr>
            <w:tcW w:w="1272" w:type="dxa"/>
            <w:shd w:val="clear" w:color="auto" w:fill="auto"/>
          </w:tcPr>
          <w:p w:rsidR="00E25450" w:rsidRPr="00FD1805" w:rsidRDefault="00E25450" w:rsidP="00FD1805">
            <w:pPr>
              <w:spacing w:after="0" w:line="240" w:lineRule="auto"/>
              <w:jc w:val="both"/>
              <w:rPr>
                <w:sz w:val="18"/>
                <w:szCs w:val="18"/>
              </w:rPr>
            </w:pPr>
          </w:p>
        </w:tc>
        <w:tc>
          <w:tcPr>
            <w:tcW w:w="968" w:type="dxa"/>
            <w:tcBorders>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3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25450" w:rsidRPr="00FD1805" w:rsidRDefault="00E25450" w:rsidP="00FD1805">
            <w:pPr>
              <w:spacing w:after="0" w:line="240" w:lineRule="auto"/>
              <w:jc w:val="both"/>
              <w:rPr>
                <w:sz w:val="18"/>
                <w:szCs w:val="18"/>
              </w:rPr>
            </w:pPr>
            <w:r w:rsidRPr="00FD1805">
              <w:rPr>
                <w:sz w:val="18"/>
                <w:szCs w:val="18"/>
              </w:rPr>
              <w:t>“Fee” received by an entity</w:t>
            </w:r>
          </w:p>
        </w:tc>
        <w:tc>
          <w:tcPr>
            <w:tcW w:w="1009" w:type="dxa"/>
            <w:tcBorders>
              <w:lef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82" w:type="dxa"/>
            <w:shd w:val="clear" w:color="auto" w:fill="auto"/>
          </w:tcPr>
          <w:p w:rsidR="00E25450" w:rsidRPr="00FD1805" w:rsidRDefault="00E25450" w:rsidP="00FD1805">
            <w:pPr>
              <w:spacing w:after="0" w:line="240" w:lineRule="auto"/>
              <w:jc w:val="both"/>
              <w:rPr>
                <w:sz w:val="18"/>
                <w:szCs w:val="18"/>
              </w:rPr>
            </w:pPr>
          </w:p>
        </w:tc>
      </w:tr>
      <w:tr w:rsidR="00EC0170" w:rsidRPr="00FD1805" w:rsidTr="00FD1805">
        <w:tc>
          <w:tcPr>
            <w:tcW w:w="1272" w:type="dxa"/>
            <w:shd w:val="clear" w:color="auto" w:fill="auto"/>
          </w:tcPr>
          <w:p w:rsidR="001152A6" w:rsidRPr="00FD1805" w:rsidRDefault="001152A6" w:rsidP="00FD1805">
            <w:pPr>
              <w:spacing w:after="0" w:line="240" w:lineRule="auto"/>
              <w:jc w:val="both"/>
              <w:rPr>
                <w:sz w:val="18"/>
                <w:szCs w:val="18"/>
              </w:rPr>
            </w:pPr>
          </w:p>
        </w:tc>
        <w:tc>
          <w:tcPr>
            <w:tcW w:w="968" w:type="dxa"/>
            <w:shd w:val="clear" w:color="auto" w:fill="auto"/>
          </w:tcPr>
          <w:p w:rsidR="001152A6" w:rsidRPr="00FD1805" w:rsidRDefault="001152A6" w:rsidP="00FD1805">
            <w:pPr>
              <w:spacing w:after="0" w:line="240" w:lineRule="auto"/>
              <w:jc w:val="both"/>
              <w:rPr>
                <w:sz w:val="18"/>
                <w:szCs w:val="18"/>
              </w:rPr>
            </w:pPr>
          </w:p>
        </w:tc>
        <w:tc>
          <w:tcPr>
            <w:tcW w:w="984" w:type="dxa"/>
            <w:tcBorders>
              <w:top w:val="single" w:sz="4" w:space="0" w:color="auto"/>
              <w:bottom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1010" w:type="dxa"/>
            <w:tcBorders>
              <w:top w:val="single" w:sz="4" w:space="0" w:color="auto"/>
              <w:bottom w:val="single" w:sz="4" w:space="0" w:color="auto"/>
              <w:right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981" w:type="dxa"/>
            <w:tcBorders>
              <w:top w:val="single" w:sz="4" w:space="0" w:color="auto"/>
              <w:left w:val="single" w:sz="4" w:space="0" w:color="auto"/>
              <w:bottom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969" w:type="dxa"/>
            <w:tcBorders>
              <w:top w:val="single" w:sz="4" w:space="0" w:color="auto"/>
              <w:left w:val="nil"/>
              <w:bottom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1009" w:type="dxa"/>
            <w:shd w:val="clear" w:color="auto" w:fill="auto"/>
          </w:tcPr>
          <w:p w:rsidR="001152A6" w:rsidRPr="00FD1805" w:rsidRDefault="001152A6" w:rsidP="00FD1805">
            <w:pPr>
              <w:spacing w:after="0" w:line="240" w:lineRule="auto"/>
              <w:jc w:val="both"/>
              <w:rPr>
                <w:sz w:val="18"/>
                <w:szCs w:val="18"/>
              </w:rPr>
            </w:pPr>
          </w:p>
        </w:tc>
        <w:tc>
          <w:tcPr>
            <w:tcW w:w="982" w:type="dxa"/>
            <w:shd w:val="clear" w:color="auto" w:fill="auto"/>
          </w:tcPr>
          <w:p w:rsidR="001152A6" w:rsidRPr="00FD1805" w:rsidRDefault="001152A6" w:rsidP="00FD1805">
            <w:pPr>
              <w:spacing w:after="0" w:line="240" w:lineRule="auto"/>
              <w:jc w:val="both"/>
              <w:rPr>
                <w:sz w:val="18"/>
                <w:szCs w:val="18"/>
              </w:rPr>
            </w:pPr>
          </w:p>
        </w:tc>
      </w:tr>
      <w:tr w:rsidR="00E25450" w:rsidRPr="00FD1805" w:rsidTr="00FD1805">
        <w:tc>
          <w:tcPr>
            <w:tcW w:w="1272" w:type="dxa"/>
            <w:shd w:val="clear" w:color="auto" w:fill="auto"/>
          </w:tcPr>
          <w:p w:rsidR="00E25450" w:rsidRPr="00FD1805" w:rsidRDefault="00E25450" w:rsidP="00FD1805">
            <w:pPr>
              <w:spacing w:after="0" w:line="240" w:lineRule="auto"/>
              <w:jc w:val="both"/>
              <w:rPr>
                <w:sz w:val="18"/>
                <w:szCs w:val="18"/>
              </w:rPr>
            </w:pPr>
          </w:p>
        </w:tc>
        <w:tc>
          <w:tcPr>
            <w:tcW w:w="968" w:type="dxa"/>
            <w:tcBorders>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39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25450" w:rsidRPr="00FD1805" w:rsidRDefault="00E25450" w:rsidP="00FD1805">
            <w:pPr>
              <w:spacing w:after="0" w:line="240" w:lineRule="auto"/>
              <w:jc w:val="both"/>
              <w:rPr>
                <w:sz w:val="18"/>
                <w:szCs w:val="18"/>
              </w:rPr>
            </w:pPr>
            <w:r w:rsidRPr="00FD1805">
              <w:rPr>
                <w:sz w:val="18"/>
                <w:szCs w:val="18"/>
              </w:rPr>
              <w:t xml:space="preserve">Is the fee received for a (compulsory) licence or </w:t>
            </w:r>
            <w:r w:rsidR="00C17E1C" w:rsidRPr="00FD1805">
              <w:rPr>
                <w:sz w:val="18"/>
                <w:szCs w:val="18"/>
              </w:rPr>
              <w:t>an</w:t>
            </w:r>
            <w:r w:rsidRPr="00FD1805">
              <w:rPr>
                <w:sz w:val="18"/>
                <w:szCs w:val="18"/>
              </w:rPr>
              <w:t>other administrative function performed by government?</w:t>
            </w:r>
          </w:p>
        </w:tc>
        <w:tc>
          <w:tcPr>
            <w:tcW w:w="1009" w:type="dxa"/>
            <w:tcBorders>
              <w:lef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82" w:type="dxa"/>
            <w:shd w:val="clear" w:color="auto" w:fill="auto"/>
          </w:tcPr>
          <w:p w:rsidR="00E25450" w:rsidRPr="00FD1805" w:rsidRDefault="00E25450" w:rsidP="00FD1805">
            <w:pPr>
              <w:spacing w:after="0" w:line="240" w:lineRule="auto"/>
              <w:jc w:val="both"/>
              <w:rPr>
                <w:sz w:val="18"/>
                <w:szCs w:val="18"/>
              </w:rPr>
            </w:pPr>
          </w:p>
        </w:tc>
      </w:tr>
      <w:tr w:rsidR="00E25450" w:rsidRPr="00FD1805" w:rsidTr="00FD1805">
        <w:trPr>
          <w:trHeight w:val="227"/>
        </w:trPr>
        <w:tc>
          <w:tcPr>
            <w:tcW w:w="1272" w:type="dxa"/>
            <w:shd w:val="clear" w:color="auto" w:fill="auto"/>
          </w:tcPr>
          <w:p w:rsidR="001152A6" w:rsidRPr="00FD1805" w:rsidRDefault="001152A6" w:rsidP="00FD1805">
            <w:pPr>
              <w:spacing w:after="0" w:line="240" w:lineRule="auto"/>
              <w:jc w:val="both"/>
              <w:rPr>
                <w:sz w:val="18"/>
                <w:szCs w:val="18"/>
              </w:rPr>
            </w:pPr>
          </w:p>
        </w:tc>
        <w:tc>
          <w:tcPr>
            <w:tcW w:w="968" w:type="dxa"/>
            <w:shd w:val="clear" w:color="auto" w:fill="auto"/>
          </w:tcPr>
          <w:p w:rsidR="001152A6" w:rsidRPr="00FD1805" w:rsidRDefault="001152A6" w:rsidP="00FD1805">
            <w:pPr>
              <w:spacing w:after="0" w:line="240" w:lineRule="auto"/>
              <w:jc w:val="both"/>
              <w:rPr>
                <w:sz w:val="18"/>
                <w:szCs w:val="18"/>
              </w:rPr>
            </w:pPr>
          </w:p>
        </w:tc>
        <w:tc>
          <w:tcPr>
            <w:tcW w:w="984" w:type="dxa"/>
            <w:tcBorders>
              <w:top w:val="single" w:sz="4" w:space="0" w:color="auto"/>
              <w:bottom w:val="single" w:sz="4" w:space="0" w:color="auto"/>
            </w:tcBorders>
            <w:shd w:val="clear" w:color="auto" w:fill="auto"/>
          </w:tcPr>
          <w:p w:rsidR="001152A6" w:rsidRPr="00FD1805" w:rsidRDefault="00A007A4" w:rsidP="00FD1805">
            <w:pPr>
              <w:spacing w:after="0" w:line="240" w:lineRule="auto"/>
              <w:jc w:val="both"/>
              <w:rPr>
                <w:sz w:val="18"/>
                <w:szCs w:val="18"/>
              </w:rPr>
            </w:pPr>
            <w:r w:rsidRPr="00FD1805">
              <w:rPr>
                <w:sz w:val="18"/>
                <w:szCs w:val="18"/>
              </w:rPr>
              <w:t>Yes</w:t>
            </w:r>
          </w:p>
        </w:tc>
        <w:tc>
          <w:tcPr>
            <w:tcW w:w="1010" w:type="dxa"/>
            <w:tcBorders>
              <w:top w:val="single" w:sz="4" w:space="0" w:color="auto"/>
              <w:bottom w:val="single" w:sz="4" w:space="0" w:color="auto"/>
              <w:right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981" w:type="dxa"/>
            <w:tcBorders>
              <w:top w:val="single" w:sz="4" w:space="0" w:color="auto"/>
              <w:left w:val="single" w:sz="4" w:space="0" w:color="auto"/>
              <w:bottom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969" w:type="dxa"/>
            <w:tcBorders>
              <w:top w:val="single" w:sz="4" w:space="0" w:color="auto"/>
              <w:bottom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1009" w:type="dxa"/>
            <w:tcBorders>
              <w:bottom w:val="single" w:sz="4" w:space="0" w:color="auto"/>
            </w:tcBorders>
            <w:shd w:val="clear" w:color="auto" w:fill="auto"/>
          </w:tcPr>
          <w:p w:rsidR="001152A6" w:rsidRPr="00FD1805" w:rsidRDefault="00A007A4" w:rsidP="00FD1805">
            <w:pPr>
              <w:spacing w:after="0" w:line="240" w:lineRule="auto"/>
              <w:jc w:val="both"/>
              <w:rPr>
                <w:sz w:val="18"/>
                <w:szCs w:val="18"/>
              </w:rPr>
            </w:pPr>
            <w:r w:rsidRPr="00FD1805">
              <w:rPr>
                <w:sz w:val="18"/>
                <w:szCs w:val="18"/>
              </w:rPr>
              <w:t>No</w:t>
            </w:r>
          </w:p>
        </w:tc>
        <w:tc>
          <w:tcPr>
            <w:tcW w:w="982" w:type="dxa"/>
            <w:shd w:val="clear" w:color="auto" w:fill="auto"/>
          </w:tcPr>
          <w:p w:rsidR="001152A6" w:rsidRPr="00FD1805" w:rsidRDefault="001152A6" w:rsidP="00FD1805">
            <w:pPr>
              <w:spacing w:after="0" w:line="240" w:lineRule="auto"/>
              <w:jc w:val="both"/>
              <w:rPr>
                <w:sz w:val="18"/>
                <w:szCs w:val="18"/>
              </w:rPr>
            </w:pPr>
          </w:p>
        </w:tc>
      </w:tr>
      <w:tr w:rsidR="00EC0170" w:rsidRPr="00FD1805" w:rsidTr="00FD1805">
        <w:tc>
          <w:tcPr>
            <w:tcW w:w="1272" w:type="dxa"/>
            <w:tcBorders>
              <w:bottom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968" w:type="dxa"/>
            <w:tcBorders>
              <w:bottom w:val="single" w:sz="4" w:space="0" w:color="auto"/>
              <w:right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984" w:type="dxa"/>
            <w:tcBorders>
              <w:top w:val="single" w:sz="4" w:space="0" w:color="auto"/>
              <w:left w:val="single" w:sz="4" w:space="0" w:color="auto"/>
              <w:bottom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1010" w:type="dxa"/>
            <w:tcBorders>
              <w:top w:val="single" w:sz="4" w:space="0" w:color="auto"/>
              <w:bottom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981" w:type="dxa"/>
            <w:tcBorders>
              <w:top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969" w:type="dxa"/>
            <w:tcBorders>
              <w:top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1009" w:type="dxa"/>
            <w:tcBorders>
              <w:top w:val="single" w:sz="4" w:space="0" w:color="auto"/>
              <w:bottom w:val="single" w:sz="4" w:space="0" w:color="auto"/>
              <w:right w:val="single" w:sz="4" w:space="0" w:color="auto"/>
            </w:tcBorders>
            <w:shd w:val="clear" w:color="auto" w:fill="auto"/>
          </w:tcPr>
          <w:p w:rsidR="001152A6" w:rsidRPr="00FD1805" w:rsidRDefault="001152A6" w:rsidP="00FD1805">
            <w:pPr>
              <w:spacing w:after="0" w:line="240" w:lineRule="auto"/>
              <w:jc w:val="both"/>
              <w:rPr>
                <w:sz w:val="18"/>
                <w:szCs w:val="18"/>
              </w:rPr>
            </w:pPr>
          </w:p>
        </w:tc>
        <w:tc>
          <w:tcPr>
            <w:tcW w:w="982" w:type="dxa"/>
            <w:tcBorders>
              <w:left w:val="single" w:sz="4" w:space="0" w:color="auto"/>
              <w:bottom w:val="single" w:sz="4" w:space="0" w:color="auto"/>
            </w:tcBorders>
            <w:shd w:val="clear" w:color="auto" w:fill="auto"/>
          </w:tcPr>
          <w:p w:rsidR="001152A6" w:rsidRPr="00FD1805" w:rsidRDefault="001152A6" w:rsidP="00FD1805">
            <w:pPr>
              <w:spacing w:after="0" w:line="240" w:lineRule="auto"/>
              <w:jc w:val="both"/>
              <w:rPr>
                <w:sz w:val="18"/>
                <w:szCs w:val="18"/>
              </w:rPr>
            </w:pPr>
          </w:p>
        </w:tc>
      </w:tr>
      <w:tr w:rsidR="00583D82" w:rsidRPr="00FD1805" w:rsidTr="00FD1805">
        <w:tc>
          <w:tcPr>
            <w:tcW w:w="4234" w:type="dxa"/>
            <w:gridSpan w:val="4"/>
            <w:tcBorders>
              <w:top w:val="single" w:sz="4" w:space="0" w:color="auto"/>
              <w:left w:val="single" w:sz="4" w:space="0" w:color="auto"/>
              <w:bottom w:val="single" w:sz="4" w:space="0" w:color="auto"/>
              <w:right w:val="single" w:sz="4" w:space="0" w:color="auto"/>
            </w:tcBorders>
            <w:shd w:val="clear" w:color="auto" w:fill="auto"/>
          </w:tcPr>
          <w:p w:rsidR="00583D82" w:rsidRPr="00FD1805" w:rsidRDefault="00583D82" w:rsidP="00FD1805">
            <w:pPr>
              <w:spacing w:after="0" w:line="240" w:lineRule="auto"/>
              <w:jc w:val="both"/>
              <w:rPr>
                <w:sz w:val="18"/>
                <w:szCs w:val="18"/>
              </w:rPr>
            </w:pPr>
            <w:r w:rsidRPr="00FD1805">
              <w:rPr>
                <w:sz w:val="18"/>
                <w:szCs w:val="18"/>
              </w:rPr>
              <w:t xml:space="preserve">Does the entity exercise a regulatory function by, for </w:t>
            </w:r>
            <w:r w:rsidR="00E25450" w:rsidRPr="00FD1805">
              <w:rPr>
                <w:sz w:val="18"/>
                <w:szCs w:val="18"/>
              </w:rPr>
              <w:t>e.g.?</w:t>
            </w:r>
          </w:p>
          <w:p w:rsidR="00583D82" w:rsidRPr="00FD1805" w:rsidRDefault="00583D82" w:rsidP="00FD1805">
            <w:pPr>
              <w:pStyle w:val="ListParagraph"/>
              <w:numPr>
                <w:ilvl w:val="0"/>
                <w:numId w:val="44"/>
              </w:numPr>
              <w:spacing w:before="0" w:after="0"/>
              <w:jc w:val="both"/>
              <w:rPr>
                <w:sz w:val="18"/>
                <w:szCs w:val="18"/>
              </w:rPr>
            </w:pPr>
            <w:r w:rsidRPr="00FD1805">
              <w:rPr>
                <w:sz w:val="18"/>
                <w:szCs w:val="18"/>
              </w:rPr>
              <w:t>Checking compliance with qualifications</w:t>
            </w:r>
          </w:p>
          <w:p w:rsidR="00583D82" w:rsidRPr="00FD1805" w:rsidRDefault="00583D82" w:rsidP="00FD1805">
            <w:pPr>
              <w:pStyle w:val="ListParagraph"/>
              <w:numPr>
                <w:ilvl w:val="0"/>
                <w:numId w:val="44"/>
              </w:numPr>
              <w:spacing w:before="0" w:after="0"/>
              <w:jc w:val="both"/>
              <w:rPr>
                <w:sz w:val="18"/>
                <w:szCs w:val="18"/>
              </w:rPr>
            </w:pPr>
            <w:r w:rsidRPr="00FD1805">
              <w:rPr>
                <w:sz w:val="18"/>
                <w:szCs w:val="18"/>
              </w:rPr>
              <w:t>Checking safe and effective functioning of equipment</w:t>
            </w:r>
          </w:p>
          <w:p w:rsidR="00583D82" w:rsidRPr="00FD1805" w:rsidRDefault="00583D82" w:rsidP="00FD1805">
            <w:pPr>
              <w:pStyle w:val="ListParagraph"/>
              <w:numPr>
                <w:ilvl w:val="0"/>
                <w:numId w:val="44"/>
              </w:numPr>
              <w:spacing w:before="0" w:after="0"/>
              <w:jc w:val="both"/>
              <w:rPr>
                <w:sz w:val="18"/>
                <w:szCs w:val="18"/>
              </w:rPr>
            </w:pPr>
            <w:r w:rsidRPr="00FD1805">
              <w:rPr>
                <w:sz w:val="18"/>
                <w:szCs w:val="18"/>
              </w:rPr>
              <w:t>Exercising other forms of control</w:t>
            </w:r>
          </w:p>
          <w:p w:rsidR="00583D82" w:rsidRPr="00FD1805" w:rsidRDefault="00583D82" w:rsidP="00FD1805">
            <w:pPr>
              <w:spacing w:after="0" w:line="240" w:lineRule="auto"/>
              <w:jc w:val="both"/>
              <w:rPr>
                <w:sz w:val="18"/>
                <w:szCs w:val="18"/>
              </w:rPr>
            </w:pPr>
            <w:r w:rsidRPr="00FD1805">
              <w:rPr>
                <w:sz w:val="18"/>
                <w:szCs w:val="18"/>
              </w:rPr>
              <w:t>Note:  The entity paying the fee should be the recipient of the “regulatory services”, i.e. there is a direct exchange of value between the two entities.</w:t>
            </w:r>
          </w:p>
        </w:tc>
        <w:tc>
          <w:tcPr>
            <w:tcW w:w="981" w:type="dxa"/>
            <w:tcBorders>
              <w:left w:val="single" w:sz="4" w:space="0" w:color="auto"/>
            </w:tcBorders>
            <w:shd w:val="clear" w:color="auto" w:fill="auto"/>
          </w:tcPr>
          <w:p w:rsidR="00583D82" w:rsidRPr="00FD1805" w:rsidRDefault="00583D82" w:rsidP="00FD1805">
            <w:pPr>
              <w:spacing w:after="0" w:line="240" w:lineRule="auto"/>
              <w:jc w:val="both"/>
              <w:rPr>
                <w:sz w:val="18"/>
                <w:szCs w:val="18"/>
              </w:rPr>
            </w:pPr>
          </w:p>
        </w:tc>
        <w:tc>
          <w:tcPr>
            <w:tcW w:w="969" w:type="dxa"/>
            <w:tcBorders>
              <w:right w:val="single" w:sz="4" w:space="0" w:color="auto"/>
            </w:tcBorders>
            <w:shd w:val="clear" w:color="auto" w:fill="auto"/>
          </w:tcPr>
          <w:p w:rsidR="00583D82" w:rsidRPr="00FD1805" w:rsidRDefault="00583D82" w:rsidP="00FD1805">
            <w:pPr>
              <w:spacing w:after="0" w:line="240" w:lineRule="auto"/>
              <w:jc w:val="both"/>
              <w:rPr>
                <w:sz w:val="18"/>
                <w:szCs w:val="18"/>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583D82" w:rsidRPr="00FD1805" w:rsidRDefault="00583D82" w:rsidP="00FD1805">
            <w:pPr>
              <w:spacing w:after="0" w:line="240" w:lineRule="auto"/>
              <w:jc w:val="both"/>
              <w:rPr>
                <w:sz w:val="18"/>
                <w:szCs w:val="18"/>
              </w:rPr>
            </w:pPr>
            <w:r w:rsidRPr="00FD1805">
              <w:rPr>
                <w:sz w:val="18"/>
                <w:szCs w:val="18"/>
              </w:rPr>
              <w:t>Fee received as a result of goods and services provided by the entity directly to the entity paying the fee</w:t>
            </w:r>
          </w:p>
        </w:tc>
      </w:tr>
      <w:tr w:rsidR="00E25450" w:rsidRPr="00FD1805" w:rsidTr="00FD1805">
        <w:trPr>
          <w:trHeight w:val="283"/>
        </w:trPr>
        <w:tc>
          <w:tcPr>
            <w:tcW w:w="1272" w:type="dxa"/>
            <w:tcBorders>
              <w:bottom w:val="single" w:sz="4" w:space="0" w:color="auto"/>
            </w:tcBorders>
            <w:shd w:val="clear" w:color="auto" w:fill="auto"/>
          </w:tcPr>
          <w:p w:rsidR="00583D82" w:rsidRPr="00FD1805" w:rsidRDefault="00583D82" w:rsidP="00FD1805">
            <w:pPr>
              <w:spacing w:after="0" w:line="240" w:lineRule="auto"/>
              <w:jc w:val="both"/>
              <w:rPr>
                <w:sz w:val="18"/>
                <w:szCs w:val="18"/>
              </w:rPr>
            </w:pPr>
            <w:r w:rsidRPr="00FD1805">
              <w:rPr>
                <w:sz w:val="18"/>
                <w:szCs w:val="18"/>
              </w:rPr>
              <w:t>No</w:t>
            </w:r>
          </w:p>
        </w:tc>
        <w:tc>
          <w:tcPr>
            <w:tcW w:w="968" w:type="dxa"/>
            <w:tcBorders>
              <w:bottom w:val="single" w:sz="4" w:space="0" w:color="auto"/>
              <w:right w:val="single" w:sz="4" w:space="0" w:color="auto"/>
            </w:tcBorders>
            <w:shd w:val="clear" w:color="auto" w:fill="auto"/>
          </w:tcPr>
          <w:p w:rsidR="00583D82" w:rsidRPr="00FD1805" w:rsidRDefault="00583D82" w:rsidP="00FD1805">
            <w:pPr>
              <w:spacing w:after="0" w:line="240" w:lineRule="auto"/>
              <w:jc w:val="both"/>
              <w:rPr>
                <w:sz w:val="18"/>
                <w:szCs w:val="18"/>
              </w:rPr>
            </w:pPr>
          </w:p>
        </w:tc>
        <w:tc>
          <w:tcPr>
            <w:tcW w:w="984" w:type="dxa"/>
            <w:tcBorders>
              <w:top w:val="single" w:sz="4" w:space="0" w:color="auto"/>
              <w:left w:val="single" w:sz="4" w:space="0" w:color="auto"/>
              <w:bottom w:val="single" w:sz="4" w:space="0" w:color="auto"/>
            </w:tcBorders>
            <w:shd w:val="clear" w:color="auto" w:fill="auto"/>
          </w:tcPr>
          <w:p w:rsidR="00583D82" w:rsidRPr="00FD1805" w:rsidRDefault="00583D82" w:rsidP="00FD1805">
            <w:pPr>
              <w:spacing w:after="0" w:line="240" w:lineRule="auto"/>
              <w:jc w:val="both"/>
              <w:rPr>
                <w:sz w:val="18"/>
                <w:szCs w:val="18"/>
              </w:rPr>
            </w:pPr>
          </w:p>
        </w:tc>
        <w:tc>
          <w:tcPr>
            <w:tcW w:w="1010" w:type="dxa"/>
            <w:tcBorders>
              <w:top w:val="single" w:sz="4" w:space="0" w:color="auto"/>
              <w:bottom w:val="single" w:sz="4" w:space="0" w:color="auto"/>
            </w:tcBorders>
            <w:shd w:val="clear" w:color="auto" w:fill="auto"/>
          </w:tcPr>
          <w:p w:rsidR="00583D82" w:rsidRPr="00FD1805" w:rsidRDefault="00E25450" w:rsidP="00FD1805">
            <w:pPr>
              <w:spacing w:after="0" w:line="240" w:lineRule="auto"/>
              <w:jc w:val="both"/>
              <w:rPr>
                <w:sz w:val="18"/>
                <w:szCs w:val="18"/>
              </w:rPr>
            </w:pPr>
            <w:r w:rsidRPr="00FD1805">
              <w:rPr>
                <w:sz w:val="18"/>
                <w:szCs w:val="18"/>
              </w:rPr>
              <w:t>Y</w:t>
            </w:r>
            <w:r w:rsidR="00583D82" w:rsidRPr="00FD1805">
              <w:rPr>
                <w:sz w:val="18"/>
                <w:szCs w:val="18"/>
              </w:rPr>
              <w:t>es</w:t>
            </w:r>
          </w:p>
        </w:tc>
        <w:tc>
          <w:tcPr>
            <w:tcW w:w="981" w:type="dxa"/>
            <w:shd w:val="clear" w:color="auto" w:fill="auto"/>
          </w:tcPr>
          <w:p w:rsidR="00583D82" w:rsidRPr="00FD1805" w:rsidRDefault="00583D82" w:rsidP="00FD1805">
            <w:pPr>
              <w:spacing w:after="0" w:line="240" w:lineRule="auto"/>
              <w:jc w:val="both"/>
              <w:rPr>
                <w:sz w:val="18"/>
                <w:szCs w:val="18"/>
              </w:rPr>
            </w:pPr>
          </w:p>
        </w:tc>
        <w:tc>
          <w:tcPr>
            <w:tcW w:w="969" w:type="dxa"/>
            <w:shd w:val="clear" w:color="auto" w:fill="auto"/>
          </w:tcPr>
          <w:p w:rsidR="00583D82" w:rsidRPr="00FD1805" w:rsidRDefault="00583D82" w:rsidP="00FD1805">
            <w:pPr>
              <w:spacing w:after="0" w:line="240" w:lineRule="auto"/>
              <w:jc w:val="both"/>
              <w:rPr>
                <w:sz w:val="18"/>
                <w:szCs w:val="18"/>
              </w:rPr>
            </w:pPr>
          </w:p>
        </w:tc>
        <w:tc>
          <w:tcPr>
            <w:tcW w:w="1009" w:type="dxa"/>
            <w:tcBorders>
              <w:top w:val="single" w:sz="4" w:space="0" w:color="auto"/>
              <w:bottom w:val="single" w:sz="4" w:space="0" w:color="auto"/>
              <w:right w:val="single" w:sz="4" w:space="0" w:color="auto"/>
            </w:tcBorders>
            <w:shd w:val="clear" w:color="auto" w:fill="auto"/>
          </w:tcPr>
          <w:p w:rsidR="00583D82" w:rsidRPr="00FD1805" w:rsidRDefault="00E25450" w:rsidP="00FD1805">
            <w:pPr>
              <w:spacing w:after="0" w:line="240" w:lineRule="auto"/>
              <w:jc w:val="both"/>
              <w:rPr>
                <w:sz w:val="18"/>
                <w:szCs w:val="18"/>
              </w:rPr>
            </w:pPr>
            <w:r w:rsidRPr="00FD1805">
              <w:rPr>
                <w:sz w:val="18"/>
                <w:szCs w:val="18"/>
              </w:rPr>
              <w:t>No</w:t>
            </w:r>
          </w:p>
        </w:tc>
        <w:tc>
          <w:tcPr>
            <w:tcW w:w="982" w:type="dxa"/>
            <w:tcBorders>
              <w:left w:val="single" w:sz="4" w:space="0" w:color="auto"/>
              <w:bottom w:val="single" w:sz="4" w:space="0" w:color="auto"/>
            </w:tcBorders>
            <w:shd w:val="clear" w:color="auto" w:fill="auto"/>
          </w:tcPr>
          <w:p w:rsidR="00583D82" w:rsidRPr="00FD1805" w:rsidRDefault="00E25450" w:rsidP="00FD1805">
            <w:pPr>
              <w:spacing w:after="0" w:line="240" w:lineRule="auto"/>
              <w:jc w:val="both"/>
              <w:rPr>
                <w:sz w:val="18"/>
                <w:szCs w:val="18"/>
              </w:rPr>
            </w:pPr>
            <w:r w:rsidRPr="00FD1805">
              <w:rPr>
                <w:sz w:val="18"/>
                <w:szCs w:val="18"/>
              </w:rPr>
              <w:t>Yes</w:t>
            </w:r>
          </w:p>
        </w:tc>
      </w:tr>
      <w:tr w:rsidR="00585D3E" w:rsidRPr="00FD1805" w:rsidTr="00FD1805">
        <w:tc>
          <w:tcPr>
            <w:tcW w:w="1272" w:type="dxa"/>
            <w:tcBorders>
              <w:top w:val="single" w:sz="4" w:space="0" w:color="auto"/>
              <w:left w:val="single" w:sz="4" w:space="0" w:color="auto"/>
              <w:bottom w:val="single" w:sz="4" w:space="0" w:color="auto"/>
            </w:tcBorders>
            <w:shd w:val="clear" w:color="auto" w:fill="auto"/>
          </w:tcPr>
          <w:p w:rsidR="00585D3E" w:rsidRPr="00FD1805" w:rsidRDefault="00585D3E" w:rsidP="00FD1805">
            <w:pPr>
              <w:spacing w:after="0" w:line="240" w:lineRule="auto"/>
              <w:jc w:val="both"/>
              <w:rPr>
                <w:sz w:val="18"/>
                <w:szCs w:val="18"/>
              </w:rPr>
            </w:pPr>
          </w:p>
        </w:tc>
        <w:tc>
          <w:tcPr>
            <w:tcW w:w="968" w:type="dxa"/>
            <w:tcBorders>
              <w:top w:val="single" w:sz="4" w:space="0" w:color="auto"/>
            </w:tcBorders>
            <w:shd w:val="clear" w:color="auto" w:fill="auto"/>
          </w:tcPr>
          <w:p w:rsidR="00585D3E" w:rsidRPr="00FD1805" w:rsidRDefault="00585D3E" w:rsidP="00FD1805">
            <w:pPr>
              <w:spacing w:after="0" w:line="240" w:lineRule="auto"/>
              <w:jc w:val="both"/>
              <w:rPr>
                <w:sz w:val="18"/>
                <w:szCs w:val="18"/>
              </w:rPr>
            </w:pPr>
          </w:p>
        </w:tc>
        <w:tc>
          <w:tcPr>
            <w:tcW w:w="1994" w:type="dxa"/>
            <w:gridSpan w:val="2"/>
            <w:tcBorders>
              <w:top w:val="single" w:sz="4" w:space="0" w:color="auto"/>
              <w:bottom w:val="single" w:sz="4" w:space="0" w:color="auto"/>
              <w:right w:val="single" w:sz="4" w:space="0" w:color="auto"/>
            </w:tcBorders>
            <w:shd w:val="clear" w:color="auto" w:fill="auto"/>
          </w:tcPr>
          <w:p w:rsidR="00585D3E" w:rsidRPr="00FD1805" w:rsidRDefault="00585D3E" w:rsidP="00FD1805">
            <w:pPr>
              <w:spacing w:after="0" w:line="240" w:lineRule="auto"/>
              <w:jc w:val="both"/>
              <w:rPr>
                <w:sz w:val="18"/>
                <w:szCs w:val="18"/>
              </w:rPr>
            </w:pPr>
          </w:p>
        </w:tc>
        <w:tc>
          <w:tcPr>
            <w:tcW w:w="981" w:type="dxa"/>
            <w:tcBorders>
              <w:left w:val="single" w:sz="4" w:space="0" w:color="auto"/>
            </w:tcBorders>
            <w:shd w:val="clear" w:color="auto" w:fill="auto"/>
          </w:tcPr>
          <w:p w:rsidR="00585D3E" w:rsidRPr="00FD1805" w:rsidRDefault="00585D3E" w:rsidP="00FD1805">
            <w:pPr>
              <w:spacing w:after="0" w:line="240" w:lineRule="auto"/>
              <w:jc w:val="both"/>
              <w:rPr>
                <w:sz w:val="18"/>
                <w:szCs w:val="18"/>
              </w:rPr>
            </w:pPr>
          </w:p>
        </w:tc>
        <w:tc>
          <w:tcPr>
            <w:tcW w:w="969" w:type="dxa"/>
            <w:tcBorders>
              <w:right w:val="single" w:sz="4" w:space="0" w:color="auto"/>
            </w:tcBorders>
            <w:shd w:val="clear" w:color="auto" w:fill="auto"/>
          </w:tcPr>
          <w:p w:rsidR="00585D3E" w:rsidRPr="00FD1805" w:rsidRDefault="00585D3E" w:rsidP="00FD1805">
            <w:pPr>
              <w:spacing w:after="0" w:line="240" w:lineRule="auto"/>
              <w:jc w:val="both"/>
              <w:rPr>
                <w:sz w:val="18"/>
                <w:szCs w:val="18"/>
              </w:rPr>
            </w:pP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85D3E" w:rsidRPr="00FD1805" w:rsidRDefault="00585D3E" w:rsidP="00FD1805">
            <w:pPr>
              <w:spacing w:after="0" w:line="240" w:lineRule="auto"/>
              <w:jc w:val="both"/>
              <w:rPr>
                <w:sz w:val="18"/>
                <w:szCs w:val="18"/>
              </w:rPr>
            </w:pPr>
            <w:r w:rsidRPr="00FD1805">
              <w:rPr>
                <w:sz w:val="18"/>
                <w:szCs w:val="18"/>
              </w:rPr>
              <w:t>Is the fee approximately equal to the fair value of the goods and services provided?</w:t>
            </w:r>
          </w:p>
        </w:tc>
      </w:tr>
      <w:tr w:rsidR="00585D3E" w:rsidRPr="00FD1805" w:rsidTr="00FD1805">
        <w:tc>
          <w:tcPr>
            <w:tcW w:w="1272" w:type="dxa"/>
            <w:tcBorders>
              <w:top w:val="single" w:sz="4" w:space="0" w:color="auto"/>
              <w:left w:val="single" w:sz="4" w:space="0" w:color="auto"/>
              <w:bottom w:val="single" w:sz="4" w:space="0" w:color="auto"/>
              <w:right w:val="single" w:sz="4" w:space="0" w:color="auto"/>
            </w:tcBorders>
            <w:shd w:val="clear" w:color="auto" w:fill="auto"/>
          </w:tcPr>
          <w:p w:rsidR="00585D3E" w:rsidRPr="00FD1805" w:rsidRDefault="00585D3E" w:rsidP="00FD1805">
            <w:pPr>
              <w:spacing w:after="0" w:line="240" w:lineRule="auto"/>
              <w:jc w:val="both"/>
              <w:rPr>
                <w:sz w:val="18"/>
                <w:szCs w:val="18"/>
              </w:rPr>
            </w:pPr>
            <w:r w:rsidRPr="00FD1805">
              <w:rPr>
                <w:sz w:val="18"/>
                <w:szCs w:val="18"/>
              </w:rPr>
              <w:t>Fee classified as a non-exchange transaction (as approximately equal value not exchanged between the parties)</w:t>
            </w:r>
          </w:p>
        </w:tc>
        <w:tc>
          <w:tcPr>
            <w:tcW w:w="968" w:type="dxa"/>
            <w:tcBorders>
              <w:left w:val="single" w:sz="4" w:space="0" w:color="auto"/>
              <w:right w:val="single" w:sz="4" w:space="0" w:color="auto"/>
            </w:tcBorders>
            <w:shd w:val="clear" w:color="auto" w:fill="auto"/>
          </w:tcPr>
          <w:p w:rsidR="00585D3E" w:rsidRPr="00FD1805" w:rsidRDefault="00585D3E" w:rsidP="00FD1805">
            <w:pPr>
              <w:spacing w:after="0" w:line="240" w:lineRule="auto"/>
              <w:jc w:val="both"/>
              <w:rPr>
                <w:sz w:val="18"/>
                <w:szCs w:val="18"/>
              </w:rPr>
            </w:pP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tcPr>
          <w:p w:rsidR="00585D3E" w:rsidRPr="00FD1805" w:rsidRDefault="00585D3E" w:rsidP="00FD1805">
            <w:pPr>
              <w:spacing w:after="0" w:line="240" w:lineRule="auto"/>
              <w:jc w:val="both"/>
              <w:rPr>
                <w:sz w:val="18"/>
                <w:szCs w:val="18"/>
              </w:rPr>
            </w:pPr>
            <w:r w:rsidRPr="00FD1805">
              <w:rPr>
                <w:sz w:val="18"/>
                <w:szCs w:val="18"/>
              </w:rPr>
              <w:t>Is the fee significantly higher than the fair value (cost) of providing the service?</w:t>
            </w:r>
          </w:p>
        </w:tc>
        <w:tc>
          <w:tcPr>
            <w:tcW w:w="981" w:type="dxa"/>
            <w:tcBorders>
              <w:left w:val="single" w:sz="4" w:space="0" w:color="auto"/>
            </w:tcBorders>
            <w:shd w:val="clear" w:color="auto" w:fill="auto"/>
          </w:tcPr>
          <w:p w:rsidR="00585D3E" w:rsidRPr="00FD1805" w:rsidRDefault="00585D3E" w:rsidP="00FD1805">
            <w:pPr>
              <w:spacing w:after="0" w:line="240" w:lineRule="auto"/>
              <w:jc w:val="both"/>
              <w:rPr>
                <w:sz w:val="18"/>
                <w:szCs w:val="18"/>
              </w:rPr>
            </w:pPr>
          </w:p>
        </w:tc>
        <w:tc>
          <w:tcPr>
            <w:tcW w:w="969" w:type="dxa"/>
            <w:tcBorders>
              <w:right w:val="single" w:sz="4" w:space="0" w:color="auto"/>
            </w:tcBorders>
            <w:shd w:val="clear" w:color="auto" w:fill="auto"/>
          </w:tcPr>
          <w:p w:rsidR="00585D3E" w:rsidRPr="00FD1805" w:rsidRDefault="00585D3E" w:rsidP="00FD1805">
            <w:pPr>
              <w:spacing w:after="0" w:line="240" w:lineRule="auto"/>
              <w:jc w:val="both"/>
              <w:rPr>
                <w:sz w:val="18"/>
                <w:szCs w:val="18"/>
              </w:rPr>
            </w:pPr>
          </w:p>
        </w:tc>
        <w:tc>
          <w:tcPr>
            <w:tcW w:w="1991" w:type="dxa"/>
            <w:gridSpan w:val="2"/>
            <w:vMerge/>
            <w:tcBorders>
              <w:left w:val="single" w:sz="4" w:space="0" w:color="auto"/>
              <w:bottom w:val="single" w:sz="4" w:space="0" w:color="auto"/>
              <w:right w:val="single" w:sz="4" w:space="0" w:color="auto"/>
            </w:tcBorders>
            <w:shd w:val="clear" w:color="auto" w:fill="auto"/>
          </w:tcPr>
          <w:p w:rsidR="00585D3E" w:rsidRPr="00FD1805" w:rsidRDefault="00585D3E" w:rsidP="00FD1805">
            <w:pPr>
              <w:spacing w:after="0" w:line="240" w:lineRule="auto"/>
              <w:jc w:val="both"/>
              <w:rPr>
                <w:sz w:val="18"/>
                <w:szCs w:val="18"/>
              </w:rPr>
            </w:pPr>
          </w:p>
        </w:tc>
      </w:tr>
      <w:tr w:rsidR="00C77098" w:rsidRPr="00FD1805" w:rsidTr="00FD1805">
        <w:trPr>
          <w:trHeight w:val="283"/>
        </w:trPr>
        <w:tc>
          <w:tcPr>
            <w:tcW w:w="1272" w:type="dxa"/>
            <w:shd w:val="clear" w:color="auto" w:fill="auto"/>
          </w:tcPr>
          <w:p w:rsidR="00583D82" w:rsidRPr="00FD1805" w:rsidRDefault="00583D82" w:rsidP="00FD1805">
            <w:pPr>
              <w:spacing w:after="0" w:line="240" w:lineRule="auto"/>
              <w:jc w:val="both"/>
              <w:rPr>
                <w:sz w:val="18"/>
                <w:szCs w:val="18"/>
              </w:rPr>
            </w:pPr>
          </w:p>
        </w:tc>
        <w:tc>
          <w:tcPr>
            <w:tcW w:w="968" w:type="dxa"/>
            <w:shd w:val="clear" w:color="auto" w:fill="auto"/>
          </w:tcPr>
          <w:p w:rsidR="00583D82" w:rsidRPr="00FD1805" w:rsidRDefault="00583D82" w:rsidP="00FD1805">
            <w:pPr>
              <w:spacing w:after="0" w:line="240" w:lineRule="auto"/>
              <w:jc w:val="both"/>
              <w:rPr>
                <w:sz w:val="18"/>
                <w:szCs w:val="18"/>
              </w:rPr>
            </w:pPr>
          </w:p>
        </w:tc>
        <w:tc>
          <w:tcPr>
            <w:tcW w:w="984" w:type="dxa"/>
            <w:tcBorders>
              <w:top w:val="single" w:sz="4" w:space="0" w:color="auto"/>
              <w:right w:val="single" w:sz="4" w:space="0" w:color="auto"/>
            </w:tcBorders>
            <w:shd w:val="clear" w:color="auto" w:fill="auto"/>
          </w:tcPr>
          <w:p w:rsidR="00583D82" w:rsidRPr="00FD1805" w:rsidRDefault="00583D82" w:rsidP="00FD1805">
            <w:pPr>
              <w:spacing w:after="0" w:line="240" w:lineRule="auto"/>
              <w:jc w:val="both"/>
              <w:rPr>
                <w:sz w:val="18"/>
                <w:szCs w:val="18"/>
              </w:rPr>
            </w:pPr>
          </w:p>
        </w:tc>
        <w:tc>
          <w:tcPr>
            <w:tcW w:w="1010" w:type="dxa"/>
            <w:tcBorders>
              <w:top w:val="single" w:sz="4" w:space="0" w:color="auto"/>
              <w:left w:val="single" w:sz="4" w:space="0" w:color="auto"/>
            </w:tcBorders>
            <w:shd w:val="clear" w:color="auto" w:fill="auto"/>
          </w:tcPr>
          <w:p w:rsidR="00583D82" w:rsidRPr="00FD1805" w:rsidRDefault="00583D82" w:rsidP="00FD1805">
            <w:pPr>
              <w:spacing w:after="0" w:line="240" w:lineRule="auto"/>
              <w:jc w:val="both"/>
              <w:rPr>
                <w:sz w:val="18"/>
                <w:szCs w:val="18"/>
              </w:rPr>
            </w:pPr>
          </w:p>
        </w:tc>
        <w:tc>
          <w:tcPr>
            <w:tcW w:w="981" w:type="dxa"/>
            <w:shd w:val="clear" w:color="auto" w:fill="auto"/>
          </w:tcPr>
          <w:p w:rsidR="00583D82" w:rsidRPr="00FD1805" w:rsidRDefault="00583D82" w:rsidP="00FD1805">
            <w:pPr>
              <w:spacing w:after="0" w:line="240" w:lineRule="auto"/>
              <w:jc w:val="both"/>
              <w:rPr>
                <w:sz w:val="18"/>
                <w:szCs w:val="18"/>
              </w:rPr>
            </w:pPr>
          </w:p>
        </w:tc>
        <w:tc>
          <w:tcPr>
            <w:tcW w:w="969" w:type="dxa"/>
            <w:shd w:val="clear" w:color="auto" w:fill="auto"/>
          </w:tcPr>
          <w:p w:rsidR="00583D82" w:rsidRPr="00FD1805" w:rsidRDefault="00583D82" w:rsidP="00FD1805">
            <w:pPr>
              <w:spacing w:after="0" w:line="240" w:lineRule="auto"/>
              <w:jc w:val="both"/>
              <w:rPr>
                <w:sz w:val="18"/>
                <w:szCs w:val="18"/>
              </w:rPr>
            </w:pPr>
          </w:p>
        </w:tc>
        <w:tc>
          <w:tcPr>
            <w:tcW w:w="1009" w:type="dxa"/>
            <w:tcBorders>
              <w:top w:val="single" w:sz="4" w:space="0" w:color="auto"/>
              <w:bottom w:val="single" w:sz="4" w:space="0" w:color="auto"/>
              <w:right w:val="single" w:sz="4" w:space="0" w:color="auto"/>
            </w:tcBorders>
            <w:shd w:val="clear" w:color="auto" w:fill="auto"/>
          </w:tcPr>
          <w:p w:rsidR="00DE103B" w:rsidRPr="00FD1805" w:rsidRDefault="00DE103B" w:rsidP="00FD1805">
            <w:pPr>
              <w:spacing w:after="0" w:line="240" w:lineRule="auto"/>
              <w:jc w:val="both"/>
              <w:rPr>
                <w:sz w:val="18"/>
                <w:szCs w:val="18"/>
              </w:rPr>
            </w:pPr>
            <w:r w:rsidRPr="00FD1805">
              <w:rPr>
                <w:sz w:val="18"/>
                <w:szCs w:val="18"/>
              </w:rPr>
              <w:t>No</w:t>
            </w:r>
          </w:p>
        </w:tc>
        <w:tc>
          <w:tcPr>
            <w:tcW w:w="982" w:type="dxa"/>
            <w:tcBorders>
              <w:top w:val="single" w:sz="4" w:space="0" w:color="auto"/>
              <w:left w:val="single" w:sz="4" w:space="0" w:color="auto"/>
              <w:bottom w:val="single" w:sz="4" w:space="0" w:color="auto"/>
            </w:tcBorders>
            <w:shd w:val="clear" w:color="auto" w:fill="auto"/>
          </w:tcPr>
          <w:p w:rsidR="00DE103B" w:rsidRPr="00FD1805" w:rsidRDefault="00DE103B" w:rsidP="00FD1805">
            <w:pPr>
              <w:spacing w:after="0" w:line="240" w:lineRule="auto"/>
              <w:jc w:val="both"/>
              <w:rPr>
                <w:sz w:val="18"/>
                <w:szCs w:val="18"/>
              </w:rPr>
            </w:pPr>
            <w:r w:rsidRPr="00FD1805">
              <w:rPr>
                <w:sz w:val="18"/>
                <w:szCs w:val="18"/>
              </w:rPr>
              <w:t>Yes</w:t>
            </w:r>
          </w:p>
        </w:tc>
      </w:tr>
      <w:tr w:rsidR="00DE103B" w:rsidRPr="00FD1805" w:rsidTr="00FD1805">
        <w:trPr>
          <w:trHeight w:val="554"/>
        </w:trPr>
        <w:tc>
          <w:tcPr>
            <w:tcW w:w="1272" w:type="dxa"/>
            <w:tcBorders>
              <w:bottom w:val="single" w:sz="4" w:space="0" w:color="auto"/>
            </w:tcBorders>
            <w:shd w:val="clear" w:color="auto" w:fill="auto"/>
          </w:tcPr>
          <w:p w:rsidR="00DE103B" w:rsidRPr="00FD1805" w:rsidRDefault="00DE103B" w:rsidP="00FD1805">
            <w:pPr>
              <w:spacing w:after="0" w:line="240" w:lineRule="auto"/>
              <w:jc w:val="both"/>
              <w:rPr>
                <w:sz w:val="18"/>
                <w:szCs w:val="18"/>
              </w:rPr>
            </w:pPr>
          </w:p>
        </w:tc>
        <w:tc>
          <w:tcPr>
            <w:tcW w:w="968" w:type="dxa"/>
            <w:tcBorders>
              <w:bottom w:val="single" w:sz="4" w:space="0" w:color="auto"/>
            </w:tcBorders>
            <w:shd w:val="clear" w:color="auto" w:fill="auto"/>
          </w:tcPr>
          <w:p w:rsidR="00DE103B" w:rsidRPr="00FD1805" w:rsidRDefault="00DE103B" w:rsidP="00FD1805">
            <w:pPr>
              <w:spacing w:after="0" w:line="240" w:lineRule="auto"/>
              <w:jc w:val="both"/>
              <w:rPr>
                <w:sz w:val="18"/>
                <w:szCs w:val="18"/>
              </w:rPr>
            </w:pPr>
          </w:p>
        </w:tc>
        <w:tc>
          <w:tcPr>
            <w:tcW w:w="984" w:type="dxa"/>
            <w:tcBorders>
              <w:bottom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r w:rsidRPr="00FD1805">
              <w:rPr>
                <w:sz w:val="18"/>
                <w:szCs w:val="18"/>
              </w:rPr>
              <w:t>Yes</w:t>
            </w:r>
          </w:p>
        </w:tc>
        <w:tc>
          <w:tcPr>
            <w:tcW w:w="1010" w:type="dxa"/>
            <w:tcBorders>
              <w:left w:val="single" w:sz="4" w:space="0" w:color="auto"/>
              <w:bottom w:val="single" w:sz="4" w:space="0" w:color="auto"/>
            </w:tcBorders>
            <w:shd w:val="clear" w:color="auto" w:fill="auto"/>
          </w:tcPr>
          <w:p w:rsidR="00E25450" w:rsidRPr="00FD1805" w:rsidRDefault="00E25450" w:rsidP="00FD1805">
            <w:pPr>
              <w:spacing w:after="0" w:line="240" w:lineRule="auto"/>
              <w:jc w:val="both"/>
              <w:rPr>
                <w:sz w:val="18"/>
                <w:szCs w:val="18"/>
              </w:rPr>
            </w:pPr>
            <w:r w:rsidRPr="00FD1805">
              <w:rPr>
                <w:sz w:val="18"/>
                <w:szCs w:val="18"/>
              </w:rPr>
              <w:t>No</w:t>
            </w:r>
          </w:p>
        </w:tc>
        <w:tc>
          <w:tcPr>
            <w:tcW w:w="981" w:type="dxa"/>
            <w:shd w:val="clear" w:color="auto" w:fill="auto"/>
          </w:tcPr>
          <w:p w:rsidR="00DE103B" w:rsidRPr="00FD1805" w:rsidRDefault="00DE103B" w:rsidP="00FD1805">
            <w:pPr>
              <w:spacing w:after="0" w:line="240" w:lineRule="auto"/>
              <w:jc w:val="both"/>
              <w:rPr>
                <w:sz w:val="18"/>
                <w:szCs w:val="18"/>
              </w:rPr>
            </w:pPr>
          </w:p>
        </w:tc>
        <w:tc>
          <w:tcPr>
            <w:tcW w:w="969" w:type="dxa"/>
            <w:tcBorders>
              <w:bottom w:val="single" w:sz="4" w:space="0" w:color="auto"/>
              <w:right w:val="single" w:sz="4" w:space="0" w:color="auto"/>
            </w:tcBorders>
            <w:shd w:val="clear" w:color="auto" w:fill="auto"/>
          </w:tcPr>
          <w:p w:rsidR="00DE103B" w:rsidRPr="00FD1805" w:rsidRDefault="00DE103B" w:rsidP="00FD1805">
            <w:pPr>
              <w:spacing w:after="0" w:line="240" w:lineRule="auto"/>
              <w:jc w:val="both"/>
              <w:rPr>
                <w:sz w:val="18"/>
                <w:szCs w:val="18"/>
              </w:rPr>
            </w:pPr>
          </w:p>
        </w:tc>
        <w:tc>
          <w:tcPr>
            <w:tcW w:w="1009" w:type="dxa"/>
            <w:tcBorders>
              <w:top w:val="single" w:sz="4" w:space="0" w:color="auto"/>
              <w:left w:val="single" w:sz="4" w:space="0" w:color="auto"/>
              <w:bottom w:val="single" w:sz="4" w:space="0" w:color="auto"/>
            </w:tcBorders>
            <w:shd w:val="clear" w:color="auto" w:fill="auto"/>
          </w:tcPr>
          <w:p w:rsidR="00DE103B" w:rsidRPr="00FD1805" w:rsidRDefault="00DE103B" w:rsidP="00FD1805">
            <w:pPr>
              <w:spacing w:after="0" w:line="240" w:lineRule="auto"/>
              <w:jc w:val="both"/>
              <w:rPr>
                <w:sz w:val="18"/>
                <w:szCs w:val="18"/>
              </w:rPr>
            </w:pPr>
          </w:p>
        </w:tc>
        <w:tc>
          <w:tcPr>
            <w:tcW w:w="982" w:type="dxa"/>
            <w:tcBorders>
              <w:top w:val="single" w:sz="4" w:space="0" w:color="auto"/>
              <w:right w:val="single" w:sz="4" w:space="0" w:color="auto"/>
            </w:tcBorders>
            <w:shd w:val="clear" w:color="auto" w:fill="auto"/>
          </w:tcPr>
          <w:p w:rsidR="00DE103B" w:rsidRPr="00FD1805" w:rsidRDefault="00DE103B" w:rsidP="00FD1805">
            <w:pPr>
              <w:spacing w:after="0" w:line="240" w:lineRule="auto"/>
              <w:jc w:val="both"/>
              <w:rPr>
                <w:sz w:val="18"/>
                <w:szCs w:val="18"/>
              </w:rPr>
            </w:pPr>
          </w:p>
        </w:tc>
      </w:tr>
      <w:tr w:rsidR="009C105D" w:rsidRPr="00FD1805" w:rsidTr="00FD1805">
        <w:tc>
          <w:tcPr>
            <w:tcW w:w="2240" w:type="dxa"/>
            <w:gridSpan w:val="2"/>
            <w:tcBorders>
              <w:top w:val="single" w:sz="4" w:space="0" w:color="auto"/>
              <w:left w:val="single" w:sz="4" w:space="0" w:color="auto"/>
              <w:bottom w:val="single" w:sz="4" w:space="0" w:color="auto"/>
            </w:tcBorders>
            <w:shd w:val="clear" w:color="auto" w:fill="auto"/>
          </w:tcPr>
          <w:p w:rsidR="009C105D" w:rsidRPr="00FD1805" w:rsidRDefault="009C105D" w:rsidP="00FD1805">
            <w:pPr>
              <w:spacing w:after="0" w:line="240" w:lineRule="auto"/>
              <w:jc w:val="both"/>
              <w:rPr>
                <w:sz w:val="18"/>
                <w:szCs w:val="18"/>
              </w:rPr>
            </w:pPr>
          </w:p>
        </w:tc>
        <w:tc>
          <w:tcPr>
            <w:tcW w:w="984" w:type="dxa"/>
            <w:tcBorders>
              <w:top w:val="single" w:sz="4" w:space="0" w:color="auto"/>
            </w:tcBorders>
            <w:shd w:val="clear" w:color="auto" w:fill="auto"/>
          </w:tcPr>
          <w:p w:rsidR="009C105D" w:rsidRPr="00FD1805" w:rsidRDefault="009C105D" w:rsidP="00FD1805">
            <w:pPr>
              <w:spacing w:after="0" w:line="240" w:lineRule="auto"/>
              <w:jc w:val="both"/>
              <w:rPr>
                <w:sz w:val="18"/>
                <w:szCs w:val="18"/>
              </w:rPr>
            </w:pPr>
          </w:p>
        </w:tc>
        <w:tc>
          <w:tcPr>
            <w:tcW w:w="1010" w:type="dxa"/>
            <w:tcBorders>
              <w:top w:val="single" w:sz="4" w:space="0" w:color="auto"/>
              <w:right w:val="single" w:sz="4" w:space="0" w:color="auto"/>
            </w:tcBorders>
            <w:shd w:val="clear" w:color="auto" w:fill="auto"/>
          </w:tcPr>
          <w:p w:rsidR="009C105D" w:rsidRPr="00FD1805" w:rsidRDefault="009C105D" w:rsidP="00FD1805">
            <w:pPr>
              <w:spacing w:after="0" w:line="240" w:lineRule="auto"/>
              <w:jc w:val="both"/>
              <w:rPr>
                <w:sz w:val="18"/>
                <w:szCs w:val="18"/>
              </w:rPr>
            </w:pPr>
          </w:p>
        </w:tc>
        <w:tc>
          <w:tcPr>
            <w:tcW w:w="981" w:type="dxa"/>
            <w:tcBorders>
              <w:left w:val="single" w:sz="4" w:space="0" w:color="auto"/>
              <w:right w:val="single" w:sz="4" w:space="0" w:color="auto"/>
            </w:tcBorders>
            <w:shd w:val="clear" w:color="auto" w:fill="auto"/>
          </w:tcPr>
          <w:p w:rsidR="009C105D" w:rsidRPr="00FD1805" w:rsidRDefault="009C105D" w:rsidP="00FD1805">
            <w:pPr>
              <w:spacing w:after="0" w:line="240" w:lineRule="auto"/>
              <w:jc w:val="both"/>
              <w:rPr>
                <w:sz w:val="18"/>
                <w:szCs w:val="18"/>
              </w:rPr>
            </w:pPr>
          </w:p>
        </w:tc>
        <w:tc>
          <w:tcPr>
            <w:tcW w:w="1978" w:type="dxa"/>
            <w:gridSpan w:val="2"/>
            <w:tcBorders>
              <w:top w:val="single" w:sz="4" w:space="0" w:color="auto"/>
              <w:left w:val="single" w:sz="4" w:space="0" w:color="auto"/>
              <w:bottom w:val="single" w:sz="4" w:space="0" w:color="auto"/>
              <w:right w:val="single" w:sz="4" w:space="0" w:color="auto"/>
            </w:tcBorders>
            <w:shd w:val="clear" w:color="auto" w:fill="auto"/>
          </w:tcPr>
          <w:p w:rsidR="009C105D" w:rsidRPr="00FD1805" w:rsidRDefault="009C105D" w:rsidP="00FD1805">
            <w:pPr>
              <w:pBdr>
                <w:top w:val="single" w:sz="4" w:space="1" w:color="auto"/>
              </w:pBdr>
              <w:spacing w:after="0" w:line="240" w:lineRule="auto"/>
              <w:jc w:val="both"/>
              <w:rPr>
                <w:sz w:val="18"/>
                <w:szCs w:val="18"/>
              </w:rPr>
            </w:pPr>
            <w:r w:rsidRPr="00FD1805">
              <w:rPr>
                <w:sz w:val="18"/>
                <w:szCs w:val="18"/>
              </w:rPr>
              <w:t>Fee = exchange revenue</w:t>
            </w:r>
          </w:p>
          <w:p w:rsidR="009C105D" w:rsidRPr="00FD1805" w:rsidRDefault="009C105D" w:rsidP="00FD1805">
            <w:pPr>
              <w:pBdr>
                <w:top w:val="single" w:sz="4" w:space="1" w:color="auto"/>
              </w:pBdr>
              <w:spacing w:after="0" w:line="240" w:lineRule="auto"/>
              <w:jc w:val="both"/>
              <w:rPr>
                <w:sz w:val="18"/>
                <w:szCs w:val="18"/>
              </w:rPr>
            </w:pPr>
            <w:r w:rsidRPr="00FD1805">
              <w:rPr>
                <w:sz w:val="18"/>
                <w:szCs w:val="18"/>
              </w:rPr>
              <w:t>Difference between FV of goods and services and fee received = foregone revenue (no accounting implications).  Consider whether any disclosure should be made in the financial statements of the free/subsidised goods and services provided.</w:t>
            </w:r>
          </w:p>
        </w:tc>
        <w:tc>
          <w:tcPr>
            <w:tcW w:w="982" w:type="dxa"/>
            <w:tcBorders>
              <w:left w:val="single" w:sz="4" w:space="0" w:color="auto"/>
              <w:right w:val="single" w:sz="4" w:space="0" w:color="auto"/>
            </w:tcBorders>
            <w:shd w:val="clear" w:color="auto" w:fill="auto"/>
          </w:tcPr>
          <w:p w:rsidR="009C105D" w:rsidRPr="00FD1805" w:rsidRDefault="009C105D" w:rsidP="00FD1805">
            <w:pPr>
              <w:spacing w:after="0" w:line="240" w:lineRule="auto"/>
              <w:jc w:val="both"/>
              <w:rPr>
                <w:sz w:val="18"/>
                <w:szCs w:val="18"/>
              </w:rPr>
            </w:pPr>
          </w:p>
        </w:tc>
      </w:tr>
      <w:tr w:rsidR="00E25450" w:rsidRPr="00FD1805" w:rsidTr="00FD1805">
        <w:tc>
          <w:tcPr>
            <w:tcW w:w="22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r w:rsidRPr="00FD1805">
              <w:rPr>
                <w:sz w:val="18"/>
                <w:szCs w:val="18"/>
              </w:rPr>
              <w:t>Classify as non-exchange revenue (consider definitions in GRAP 23 of a tax and a transfer)</w:t>
            </w:r>
          </w:p>
        </w:tc>
        <w:tc>
          <w:tcPr>
            <w:tcW w:w="984" w:type="dxa"/>
            <w:tcBorders>
              <w:lef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1010" w:type="dxa"/>
            <w:tcBorders>
              <w:bottom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81" w:type="dxa"/>
            <w:tcBorders>
              <w:left w:val="single" w:sz="4" w:space="0" w:color="auto"/>
              <w:bottom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69" w:type="dxa"/>
            <w:tcBorders>
              <w:top w:val="single" w:sz="4" w:space="0" w:color="auto"/>
              <w:bottom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1009" w:type="dxa"/>
            <w:tcBorders>
              <w:top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82" w:type="dxa"/>
            <w:tcBorders>
              <w:bottom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p>
        </w:tc>
      </w:tr>
      <w:tr w:rsidR="00E25450" w:rsidRPr="00FD1805" w:rsidTr="00FD1805">
        <w:tc>
          <w:tcPr>
            <w:tcW w:w="2240" w:type="dxa"/>
            <w:gridSpan w:val="2"/>
            <w:vMerge/>
            <w:tcBorders>
              <w:top w:val="single" w:sz="4" w:space="0" w:color="auto"/>
              <w:left w:val="single" w:sz="4" w:space="0" w:color="auto"/>
              <w:bottom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84" w:type="dxa"/>
            <w:tcBorders>
              <w:left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296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r w:rsidRPr="00FD1805">
              <w:rPr>
                <w:sz w:val="18"/>
                <w:szCs w:val="18"/>
              </w:rPr>
              <w:t xml:space="preserve">Fee = exchange revenue  </w:t>
            </w:r>
          </w:p>
          <w:p w:rsidR="00E25450" w:rsidRPr="00FD1805" w:rsidRDefault="00E25450" w:rsidP="00FD1805">
            <w:pPr>
              <w:spacing w:after="0" w:line="240" w:lineRule="auto"/>
              <w:jc w:val="both"/>
              <w:rPr>
                <w:sz w:val="18"/>
                <w:szCs w:val="18"/>
              </w:rPr>
            </w:pPr>
            <w:r w:rsidRPr="00FD1805">
              <w:rPr>
                <w:sz w:val="18"/>
                <w:szCs w:val="18"/>
              </w:rPr>
              <w:t>Difference between FV of goods and services and fee received = foregone revenue (no accounting implications) Consider whether any disclosure should be made in the financial statements of the free/subsidised goods and services provided.</w:t>
            </w:r>
          </w:p>
        </w:tc>
        <w:tc>
          <w:tcPr>
            <w:tcW w:w="1009" w:type="dxa"/>
            <w:tcBorders>
              <w:left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r w:rsidRPr="00FD1805">
              <w:rPr>
                <w:sz w:val="18"/>
                <w:szCs w:val="18"/>
              </w:rPr>
              <w:t>Fee – exchange Revenue</w:t>
            </w:r>
          </w:p>
        </w:tc>
      </w:tr>
      <w:tr w:rsidR="00E25450" w:rsidRPr="00FD1805" w:rsidTr="00FD1805">
        <w:tc>
          <w:tcPr>
            <w:tcW w:w="1272" w:type="dxa"/>
            <w:tcBorders>
              <w:top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68" w:type="dxa"/>
            <w:tcBorders>
              <w:top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84" w:type="dxa"/>
            <w:tcBorders>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2960" w:type="dxa"/>
            <w:gridSpan w:val="3"/>
            <w:vMerge/>
            <w:tcBorders>
              <w:left w:val="single" w:sz="4" w:space="0" w:color="auto"/>
              <w:bottom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1009" w:type="dxa"/>
            <w:tcBorders>
              <w:lef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82" w:type="dxa"/>
            <w:tcBorders>
              <w:top w:val="single" w:sz="4" w:space="0" w:color="auto"/>
            </w:tcBorders>
            <w:shd w:val="clear" w:color="auto" w:fill="auto"/>
          </w:tcPr>
          <w:p w:rsidR="00E25450" w:rsidRPr="00FD1805" w:rsidRDefault="00E25450" w:rsidP="00FD1805">
            <w:pPr>
              <w:spacing w:after="0" w:line="240" w:lineRule="auto"/>
              <w:jc w:val="both"/>
              <w:rPr>
                <w:sz w:val="18"/>
                <w:szCs w:val="18"/>
              </w:rPr>
            </w:pPr>
          </w:p>
        </w:tc>
      </w:tr>
      <w:tr w:rsidR="00E25450" w:rsidRPr="00FD1805" w:rsidTr="00FD1805">
        <w:tc>
          <w:tcPr>
            <w:tcW w:w="1272" w:type="dxa"/>
            <w:shd w:val="clear" w:color="auto" w:fill="auto"/>
          </w:tcPr>
          <w:p w:rsidR="00E25450" w:rsidRPr="00FD1805" w:rsidRDefault="00E25450" w:rsidP="00FD1805">
            <w:pPr>
              <w:spacing w:after="0" w:line="240" w:lineRule="auto"/>
              <w:jc w:val="both"/>
              <w:rPr>
                <w:sz w:val="18"/>
                <w:szCs w:val="18"/>
              </w:rPr>
            </w:pPr>
          </w:p>
        </w:tc>
        <w:tc>
          <w:tcPr>
            <w:tcW w:w="968" w:type="dxa"/>
            <w:shd w:val="clear" w:color="auto" w:fill="auto"/>
          </w:tcPr>
          <w:p w:rsidR="00E25450" w:rsidRPr="00FD1805" w:rsidRDefault="00E25450" w:rsidP="00FD1805">
            <w:pPr>
              <w:spacing w:after="0" w:line="240" w:lineRule="auto"/>
              <w:jc w:val="both"/>
              <w:rPr>
                <w:sz w:val="18"/>
                <w:szCs w:val="18"/>
              </w:rPr>
            </w:pPr>
          </w:p>
        </w:tc>
        <w:tc>
          <w:tcPr>
            <w:tcW w:w="984" w:type="dxa"/>
            <w:tcBorders>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2960" w:type="dxa"/>
            <w:gridSpan w:val="3"/>
            <w:vMerge/>
            <w:tcBorders>
              <w:left w:val="single" w:sz="4" w:space="0" w:color="auto"/>
              <w:bottom w:val="single" w:sz="4" w:space="0" w:color="auto"/>
              <w:righ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1009" w:type="dxa"/>
            <w:tcBorders>
              <w:left w:val="single" w:sz="4" w:space="0" w:color="auto"/>
            </w:tcBorders>
            <w:shd w:val="clear" w:color="auto" w:fill="auto"/>
          </w:tcPr>
          <w:p w:rsidR="00E25450" w:rsidRPr="00FD1805" w:rsidRDefault="00E25450" w:rsidP="00FD1805">
            <w:pPr>
              <w:spacing w:after="0" w:line="240" w:lineRule="auto"/>
              <w:jc w:val="both"/>
              <w:rPr>
                <w:sz w:val="18"/>
                <w:szCs w:val="18"/>
              </w:rPr>
            </w:pPr>
          </w:p>
        </w:tc>
        <w:tc>
          <w:tcPr>
            <w:tcW w:w="982" w:type="dxa"/>
            <w:shd w:val="clear" w:color="auto" w:fill="auto"/>
          </w:tcPr>
          <w:p w:rsidR="00E25450" w:rsidRPr="00FD1805" w:rsidRDefault="00E25450" w:rsidP="00FD1805">
            <w:pPr>
              <w:spacing w:after="0" w:line="240" w:lineRule="auto"/>
              <w:jc w:val="both"/>
              <w:rPr>
                <w:sz w:val="18"/>
                <w:szCs w:val="18"/>
              </w:rPr>
            </w:pPr>
          </w:p>
        </w:tc>
      </w:tr>
    </w:tbl>
    <w:p w:rsidR="00202345" w:rsidRPr="00B94038" w:rsidRDefault="00202345" w:rsidP="00FD1805">
      <w:pPr>
        <w:ind w:left="851"/>
        <w:jc w:val="both"/>
      </w:pPr>
    </w:p>
    <w:p w:rsidR="005037E0" w:rsidRDefault="005037E0" w:rsidP="00FD1805">
      <w:pPr>
        <w:autoSpaceDE w:val="0"/>
        <w:autoSpaceDN w:val="0"/>
        <w:adjustRightInd w:val="0"/>
        <w:spacing w:after="0" w:line="240" w:lineRule="auto"/>
        <w:ind w:left="426"/>
        <w:jc w:val="both"/>
        <w:rPr>
          <w:rFonts w:ascii="Arial" w:eastAsia="Arial" w:hAnsi="Arial" w:cs="Arial"/>
          <w:sz w:val="26"/>
          <w:szCs w:val="26"/>
        </w:rPr>
        <w:sectPr w:rsidR="005037E0" w:rsidSect="007677C6">
          <w:pgSz w:w="11906" w:h="16838"/>
          <w:pgMar w:top="1440" w:right="1440" w:bottom="1440" w:left="1440" w:header="708" w:footer="708" w:gutter="0"/>
          <w:cols w:space="708"/>
          <w:docGrid w:linePitch="360"/>
        </w:sectPr>
      </w:pPr>
    </w:p>
    <w:p w:rsidR="00AE3CE7" w:rsidRPr="008B29EC" w:rsidRDefault="00AE3CE7" w:rsidP="008B29EC">
      <w:pPr>
        <w:pStyle w:val="Heading2"/>
        <w:rPr>
          <w:rFonts w:ascii="Arial" w:hAnsi="Arial" w:cs="Arial"/>
          <w:color w:val="auto"/>
          <w:sz w:val="24"/>
          <w:szCs w:val="24"/>
        </w:rPr>
      </w:pPr>
      <w:bookmarkStart w:id="7" w:name="_Toc456597826"/>
      <w:r w:rsidRPr="008B29EC">
        <w:rPr>
          <w:rFonts w:ascii="Arial" w:hAnsi="Arial" w:cs="Arial"/>
          <w:color w:val="auto"/>
          <w:sz w:val="24"/>
          <w:szCs w:val="24"/>
        </w:rPr>
        <w:t>POSITION</w:t>
      </w:r>
      <w:r w:rsidR="00BB18FD" w:rsidRPr="008B29EC">
        <w:rPr>
          <w:rFonts w:ascii="Arial" w:hAnsi="Arial" w:cs="Arial"/>
          <w:color w:val="auto"/>
          <w:sz w:val="24"/>
          <w:szCs w:val="24"/>
        </w:rPr>
        <w:t xml:space="preserve"> OF </w:t>
      </w:r>
      <w:r w:rsidR="00BB18FD" w:rsidRPr="008B29EC">
        <w:rPr>
          <w:rFonts w:ascii="Arial" w:hAnsi="Arial" w:cs="Arial"/>
          <w:i/>
          <w:color w:val="auto"/>
          <w:sz w:val="24"/>
          <w:szCs w:val="24"/>
        </w:rPr>
        <w:t>m</w:t>
      </w:r>
      <w:r w:rsidR="00BB18FD" w:rsidRPr="008B29EC">
        <w:rPr>
          <w:rFonts w:ascii="Arial" w:hAnsi="Arial" w:cs="Arial"/>
          <w:color w:val="auto"/>
          <w:sz w:val="24"/>
          <w:szCs w:val="24"/>
        </w:rPr>
        <w:t>SCOA</w:t>
      </w:r>
      <w:bookmarkEnd w:id="7"/>
      <w:r w:rsidR="00BB18FD" w:rsidRPr="008B29EC">
        <w:rPr>
          <w:rFonts w:ascii="Arial" w:hAnsi="Arial" w:cs="Arial"/>
          <w:color w:val="auto"/>
          <w:sz w:val="24"/>
          <w:szCs w:val="24"/>
        </w:rPr>
        <w:t xml:space="preserve"> </w:t>
      </w:r>
    </w:p>
    <w:p w:rsidR="0012111A" w:rsidRPr="008D3BB2" w:rsidRDefault="0012111A" w:rsidP="00FD1805">
      <w:pPr>
        <w:pStyle w:val="ListParagraph"/>
        <w:jc w:val="both"/>
        <w:rPr>
          <w:sz w:val="22"/>
          <w:szCs w:val="22"/>
        </w:rPr>
      </w:pPr>
      <w:r w:rsidRPr="008D3BB2">
        <w:rPr>
          <w:sz w:val="22"/>
          <w:szCs w:val="22"/>
        </w:rPr>
        <w:t>The following Revenue is regarded as Exchange Revenue:</w:t>
      </w:r>
    </w:p>
    <w:p w:rsidR="0012111A" w:rsidRPr="008D3BB2" w:rsidRDefault="00DF4667" w:rsidP="00FD1805">
      <w:pPr>
        <w:pStyle w:val="BulletParagraph"/>
        <w:jc w:val="both"/>
        <w:rPr>
          <w:sz w:val="22"/>
          <w:szCs w:val="22"/>
        </w:rPr>
      </w:pPr>
      <w:r w:rsidRPr="008D3BB2">
        <w:rPr>
          <w:sz w:val="22"/>
          <w:szCs w:val="22"/>
        </w:rPr>
        <w:t>Agency Services</w:t>
      </w:r>
    </w:p>
    <w:p w:rsidR="0012111A" w:rsidRPr="008D3BB2" w:rsidRDefault="00DF4667" w:rsidP="00FD1805">
      <w:pPr>
        <w:pStyle w:val="BulletParagraph"/>
        <w:jc w:val="both"/>
        <w:rPr>
          <w:sz w:val="22"/>
          <w:szCs w:val="22"/>
        </w:rPr>
      </w:pPr>
      <w:r w:rsidRPr="008D3BB2">
        <w:rPr>
          <w:sz w:val="22"/>
          <w:szCs w:val="22"/>
        </w:rPr>
        <w:t>Interest, Dividend and Rent on Land</w:t>
      </w:r>
    </w:p>
    <w:p w:rsidR="0012111A" w:rsidRPr="008D3BB2" w:rsidRDefault="00DF4667" w:rsidP="00FD1805">
      <w:pPr>
        <w:pStyle w:val="BulletParagraph"/>
        <w:jc w:val="both"/>
        <w:rPr>
          <w:sz w:val="22"/>
          <w:szCs w:val="22"/>
        </w:rPr>
      </w:pPr>
      <w:r w:rsidRPr="008D3BB2">
        <w:rPr>
          <w:sz w:val="22"/>
          <w:szCs w:val="22"/>
        </w:rPr>
        <w:t>Operational Revenue</w:t>
      </w:r>
    </w:p>
    <w:p w:rsidR="0012111A" w:rsidRPr="008D3BB2" w:rsidRDefault="00DF4667" w:rsidP="00FD1805">
      <w:pPr>
        <w:pStyle w:val="BulletParagraph"/>
        <w:jc w:val="both"/>
        <w:rPr>
          <w:sz w:val="22"/>
          <w:szCs w:val="22"/>
        </w:rPr>
      </w:pPr>
      <w:r w:rsidRPr="008D3BB2">
        <w:rPr>
          <w:sz w:val="22"/>
          <w:szCs w:val="22"/>
        </w:rPr>
        <w:t>Rental from Fixed Assets</w:t>
      </w:r>
    </w:p>
    <w:p w:rsidR="0012111A" w:rsidRPr="008D3BB2" w:rsidRDefault="00DF4667" w:rsidP="00FD1805">
      <w:pPr>
        <w:pStyle w:val="BulletParagraph"/>
        <w:jc w:val="both"/>
        <w:rPr>
          <w:sz w:val="22"/>
          <w:szCs w:val="22"/>
        </w:rPr>
      </w:pPr>
      <w:r w:rsidRPr="008D3BB2">
        <w:rPr>
          <w:sz w:val="22"/>
          <w:szCs w:val="22"/>
        </w:rPr>
        <w:t>Sales of Goods and Rendering of Services</w:t>
      </w:r>
    </w:p>
    <w:p w:rsidR="0012111A" w:rsidRPr="008D3BB2" w:rsidRDefault="00DF4667" w:rsidP="00FD1805">
      <w:pPr>
        <w:pStyle w:val="BulletParagraph"/>
        <w:jc w:val="both"/>
        <w:rPr>
          <w:sz w:val="22"/>
          <w:szCs w:val="22"/>
        </w:rPr>
      </w:pPr>
      <w:r w:rsidRPr="008D3BB2">
        <w:rPr>
          <w:sz w:val="22"/>
          <w:szCs w:val="22"/>
        </w:rPr>
        <w:t>Service Charges</w:t>
      </w:r>
    </w:p>
    <w:p w:rsidR="0012111A" w:rsidRPr="008D3BB2" w:rsidRDefault="00DF4667" w:rsidP="00FD1805">
      <w:pPr>
        <w:pStyle w:val="BulletParagraph"/>
        <w:jc w:val="both"/>
        <w:rPr>
          <w:sz w:val="22"/>
          <w:szCs w:val="22"/>
        </w:rPr>
      </w:pPr>
      <w:r w:rsidRPr="008D3BB2">
        <w:rPr>
          <w:sz w:val="22"/>
          <w:szCs w:val="22"/>
        </w:rPr>
        <w:t>Licences or Permits</w:t>
      </w:r>
    </w:p>
    <w:p w:rsidR="0012111A" w:rsidRPr="008D3BB2" w:rsidRDefault="0012111A" w:rsidP="00FD1805">
      <w:pPr>
        <w:pStyle w:val="ListParagraph"/>
        <w:jc w:val="both"/>
        <w:rPr>
          <w:sz w:val="22"/>
          <w:szCs w:val="22"/>
        </w:rPr>
      </w:pPr>
      <w:r w:rsidRPr="008D3BB2">
        <w:rPr>
          <w:sz w:val="22"/>
          <w:szCs w:val="22"/>
        </w:rPr>
        <w:t>The following Revenue is regarded as Non-Exchange Revenue</w:t>
      </w:r>
    </w:p>
    <w:p w:rsidR="0012111A" w:rsidRPr="008D3BB2" w:rsidRDefault="00DF4667" w:rsidP="00FD1805">
      <w:pPr>
        <w:pStyle w:val="BulletParagraph"/>
        <w:jc w:val="both"/>
        <w:rPr>
          <w:sz w:val="22"/>
          <w:szCs w:val="22"/>
        </w:rPr>
      </w:pPr>
      <w:r w:rsidRPr="008D3BB2">
        <w:rPr>
          <w:sz w:val="22"/>
          <w:szCs w:val="22"/>
        </w:rPr>
        <w:t>Fines, Penalties and Forfeits</w:t>
      </w:r>
    </w:p>
    <w:p w:rsidR="0012111A" w:rsidRPr="008D3BB2" w:rsidRDefault="00DF4667" w:rsidP="00FD1805">
      <w:pPr>
        <w:pStyle w:val="BulletParagraph"/>
        <w:jc w:val="both"/>
        <w:rPr>
          <w:sz w:val="22"/>
          <w:szCs w:val="22"/>
        </w:rPr>
      </w:pPr>
      <w:r w:rsidRPr="008D3BB2">
        <w:rPr>
          <w:sz w:val="22"/>
          <w:szCs w:val="22"/>
        </w:rPr>
        <w:t>Licences or Permits</w:t>
      </w:r>
    </w:p>
    <w:p w:rsidR="0012111A" w:rsidRPr="008D3BB2" w:rsidRDefault="00DF4667" w:rsidP="00FD1805">
      <w:pPr>
        <w:pStyle w:val="BulletParagraph"/>
        <w:jc w:val="both"/>
        <w:rPr>
          <w:sz w:val="22"/>
          <w:szCs w:val="22"/>
        </w:rPr>
      </w:pPr>
      <w:r w:rsidRPr="008D3BB2">
        <w:rPr>
          <w:sz w:val="22"/>
          <w:szCs w:val="22"/>
        </w:rPr>
        <w:t>Property Rates</w:t>
      </w:r>
    </w:p>
    <w:p w:rsidR="00DF4667" w:rsidRPr="008D3BB2" w:rsidRDefault="00DF4667" w:rsidP="00FD1805">
      <w:pPr>
        <w:pStyle w:val="BulletParagraph"/>
        <w:jc w:val="both"/>
        <w:rPr>
          <w:sz w:val="22"/>
          <w:szCs w:val="22"/>
        </w:rPr>
      </w:pPr>
      <w:r w:rsidRPr="008D3BB2">
        <w:rPr>
          <w:sz w:val="22"/>
          <w:szCs w:val="22"/>
        </w:rPr>
        <w:t>Surcharges and Taxes</w:t>
      </w:r>
    </w:p>
    <w:p w:rsidR="0012111A" w:rsidRPr="008D3BB2" w:rsidRDefault="00DF4667" w:rsidP="00FD1805">
      <w:pPr>
        <w:pStyle w:val="BulletParagraph"/>
        <w:jc w:val="both"/>
        <w:rPr>
          <w:sz w:val="22"/>
          <w:szCs w:val="22"/>
        </w:rPr>
      </w:pPr>
      <w:r w:rsidRPr="008D3BB2">
        <w:rPr>
          <w:sz w:val="22"/>
          <w:szCs w:val="22"/>
        </w:rPr>
        <w:t>Transfers and Subsidies</w:t>
      </w:r>
    </w:p>
    <w:p w:rsidR="0012111A" w:rsidRPr="008D3BB2" w:rsidRDefault="0012111A" w:rsidP="00FD1805">
      <w:pPr>
        <w:pStyle w:val="ListParagraph"/>
        <w:jc w:val="both"/>
        <w:rPr>
          <w:sz w:val="22"/>
          <w:szCs w:val="22"/>
        </w:rPr>
      </w:pPr>
      <w:r w:rsidRPr="008D3BB2">
        <w:rPr>
          <w:sz w:val="22"/>
          <w:szCs w:val="22"/>
        </w:rPr>
        <w:t>The</w:t>
      </w:r>
      <w:r w:rsidR="00D72255" w:rsidRPr="008D3BB2">
        <w:rPr>
          <w:sz w:val="22"/>
          <w:szCs w:val="22"/>
        </w:rPr>
        <w:t xml:space="preserve"> following r</w:t>
      </w:r>
      <w:r w:rsidRPr="008D3BB2">
        <w:rPr>
          <w:sz w:val="22"/>
          <w:szCs w:val="22"/>
        </w:rPr>
        <w:t>evenue</w:t>
      </w:r>
      <w:r w:rsidR="00167F74" w:rsidRPr="008D3BB2">
        <w:rPr>
          <w:sz w:val="22"/>
          <w:szCs w:val="22"/>
        </w:rPr>
        <w:t xml:space="preserve"> </w:t>
      </w:r>
      <w:r w:rsidRPr="008D3BB2">
        <w:rPr>
          <w:sz w:val="22"/>
          <w:szCs w:val="22"/>
        </w:rPr>
        <w:t>could be regarded as either Exchange or Non Excha</w:t>
      </w:r>
      <w:r w:rsidR="00D72255" w:rsidRPr="008D3BB2">
        <w:rPr>
          <w:sz w:val="22"/>
          <w:szCs w:val="22"/>
        </w:rPr>
        <w:t>nge Revenue, management of the m</w:t>
      </w:r>
      <w:r w:rsidRPr="008D3BB2">
        <w:rPr>
          <w:sz w:val="22"/>
          <w:szCs w:val="22"/>
        </w:rPr>
        <w:t>unicipality would be required to document their judgement in this regard</w:t>
      </w:r>
      <w:r w:rsidR="00D72255" w:rsidRPr="008D3BB2">
        <w:rPr>
          <w:sz w:val="22"/>
          <w:szCs w:val="22"/>
        </w:rPr>
        <w:t xml:space="preserve">. </w:t>
      </w:r>
      <w:r w:rsidR="00DF4667" w:rsidRPr="008D3BB2">
        <w:rPr>
          <w:sz w:val="22"/>
          <w:szCs w:val="22"/>
        </w:rPr>
        <w:t xml:space="preserve"> </w:t>
      </w:r>
      <w:r w:rsidR="00D72255" w:rsidRPr="008D3BB2">
        <w:rPr>
          <w:sz w:val="22"/>
          <w:szCs w:val="22"/>
        </w:rPr>
        <w:t xml:space="preserve">(Refer to the decision tree </w:t>
      </w:r>
      <w:r w:rsidR="0002161F">
        <w:rPr>
          <w:sz w:val="22"/>
          <w:szCs w:val="22"/>
        </w:rPr>
        <w:t xml:space="preserve">under 18. </w:t>
      </w:r>
      <w:r w:rsidR="0061226B" w:rsidRPr="008D3BB2">
        <w:rPr>
          <w:sz w:val="22"/>
          <w:szCs w:val="22"/>
        </w:rPr>
        <w:t>above</w:t>
      </w:r>
      <w:r w:rsidR="00D72255" w:rsidRPr="008D3BB2">
        <w:rPr>
          <w:sz w:val="22"/>
          <w:szCs w:val="22"/>
        </w:rPr>
        <w:t>)</w:t>
      </w:r>
    </w:p>
    <w:p w:rsidR="00494EB9" w:rsidRPr="008D3BB2" w:rsidRDefault="0012111A" w:rsidP="00FD1805">
      <w:pPr>
        <w:pStyle w:val="ListParagraph"/>
        <w:numPr>
          <w:ilvl w:val="0"/>
          <w:numId w:val="35"/>
        </w:numPr>
        <w:jc w:val="both"/>
        <w:rPr>
          <w:sz w:val="22"/>
          <w:szCs w:val="22"/>
        </w:rPr>
      </w:pPr>
      <w:r w:rsidRPr="008D3BB2">
        <w:rPr>
          <w:sz w:val="22"/>
          <w:szCs w:val="22"/>
        </w:rPr>
        <w:t>Licences</w:t>
      </w:r>
      <w:r w:rsidR="00DF4667" w:rsidRPr="008D3BB2">
        <w:rPr>
          <w:sz w:val="22"/>
          <w:szCs w:val="22"/>
        </w:rPr>
        <w:t xml:space="preserve"> or Permits</w:t>
      </w:r>
    </w:p>
    <w:p w:rsidR="00DA59E3" w:rsidRPr="008B29EC" w:rsidRDefault="00DA59E3" w:rsidP="008B29EC">
      <w:pPr>
        <w:pStyle w:val="Heading2"/>
        <w:rPr>
          <w:rFonts w:ascii="Arial" w:hAnsi="Arial" w:cs="Arial"/>
          <w:color w:val="auto"/>
          <w:sz w:val="24"/>
          <w:szCs w:val="24"/>
        </w:rPr>
      </w:pPr>
      <w:bookmarkStart w:id="8" w:name="_Toc456353325"/>
      <w:bookmarkStart w:id="9" w:name="_Toc456597827"/>
      <w:bookmarkStart w:id="10" w:name="_Ref456345476"/>
      <w:bookmarkStart w:id="11" w:name="_Toc456353326"/>
      <w:r w:rsidRPr="008B29EC">
        <w:rPr>
          <w:rFonts w:ascii="Arial" w:hAnsi="Arial" w:cs="Arial"/>
          <w:color w:val="auto"/>
          <w:sz w:val="24"/>
          <w:szCs w:val="24"/>
        </w:rPr>
        <w:t>NATIONAL TREASURY DOCUMENTS TO BE REVISED FOLLOWING THE ADOPTION OF THIS POSITION PAPER</w:t>
      </w:r>
      <w:bookmarkEnd w:id="8"/>
      <w:bookmarkEnd w:id="9"/>
    </w:p>
    <w:p w:rsidR="00DA59E3" w:rsidRPr="008B29EC" w:rsidRDefault="00DA59E3" w:rsidP="008B29EC">
      <w:pPr>
        <w:pStyle w:val="Heading3"/>
        <w:rPr>
          <w:rFonts w:ascii="Arial" w:hAnsi="Arial" w:cs="Arial"/>
          <w:color w:val="auto"/>
          <w:sz w:val="20"/>
          <w:szCs w:val="20"/>
        </w:rPr>
      </w:pPr>
      <w:bookmarkStart w:id="12" w:name="_Toc456597828"/>
      <w:r w:rsidRPr="008B29EC">
        <w:rPr>
          <w:rFonts w:ascii="Arial" w:hAnsi="Arial" w:cs="Arial"/>
          <w:color w:val="auto"/>
          <w:sz w:val="20"/>
          <w:szCs w:val="20"/>
        </w:rPr>
        <w:t xml:space="preserve">Standards of GRAP Implementation Guide – GRAP </w:t>
      </w:r>
      <w:r w:rsidR="00D7273B" w:rsidRPr="008B29EC">
        <w:rPr>
          <w:rFonts w:ascii="Arial" w:hAnsi="Arial" w:cs="Arial"/>
          <w:color w:val="auto"/>
          <w:sz w:val="20"/>
          <w:szCs w:val="20"/>
        </w:rPr>
        <w:t>23</w:t>
      </w:r>
      <w:r w:rsidRPr="008B29EC">
        <w:rPr>
          <w:rFonts w:ascii="Arial" w:hAnsi="Arial" w:cs="Arial"/>
          <w:color w:val="auto"/>
          <w:sz w:val="20"/>
          <w:szCs w:val="20"/>
        </w:rPr>
        <w:t xml:space="preserve"> on </w:t>
      </w:r>
      <w:bookmarkEnd w:id="10"/>
      <w:bookmarkEnd w:id="11"/>
      <w:r w:rsidR="00D7273B" w:rsidRPr="008B29EC">
        <w:rPr>
          <w:rFonts w:ascii="Arial" w:hAnsi="Arial" w:cs="Arial"/>
          <w:color w:val="auto"/>
          <w:sz w:val="20"/>
          <w:szCs w:val="20"/>
        </w:rPr>
        <w:t>Revenue from Non-exchange Transactions</w:t>
      </w:r>
      <w:bookmarkEnd w:id="12"/>
    </w:p>
    <w:p w:rsidR="00DA59E3" w:rsidRPr="008D3BB2" w:rsidRDefault="00D7273B" w:rsidP="00FD1805">
      <w:pPr>
        <w:pStyle w:val="ListParagraph"/>
        <w:jc w:val="both"/>
        <w:rPr>
          <w:sz w:val="22"/>
          <w:szCs w:val="22"/>
        </w:rPr>
      </w:pPr>
      <w:r w:rsidRPr="008D3BB2">
        <w:rPr>
          <w:sz w:val="22"/>
          <w:szCs w:val="22"/>
        </w:rPr>
        <w:t>Section 4.3 Licence, Subscription and Similar Fees has reference.  The guidance provided to assist in deciding on the correct accounting treatment need to be aligned to the latest Version of the ASB FAQ paragraph 4.2.</w:t>
      </w:r>
    </w:p>
    <w:p w:rsidR="00DA59E3" w:rsidRPr="008B29EC" w:rsidRDefault="00DA59E3" w:rsidP="008B29EC">
      <w:pPr>
        <w:pStyle w:val="Heading3"/>
        <w:rPr>
          <w:rFonts w:ascii="Arial" w:hAnsi="Arial" w:cs="Arial"/>
          <w:color w:val="auto"/>
          <w:sz w:val="20"/>
          <w:szCs w:val="20"/>
        </w:rPr>
      </w:pPr>
      <w:bookmarkStart w:id="13" w:name="_Ref456348835"/>
      <w:bookmarkStart w:id="14" w:name="_Toc456353327"/>
      <w:bookmarkStart w:id="15" w:name="_Toc456597829"/>
      <w:r w:rsidRPr="008B29EC">
        <w:rPr>
          <w:rFonts w:ascii="Arial" w:hAnsi="Arial" w:cs="Arial"/>
          <w:color w:val="auto"/>
          <w:sz w:val="20"/>
          <w:szCs w:val="20"/>
        </w:rPr>
        <w:t>Budget Reporting Tables, In-year Reporting and Illustrated Financial Statements</w:t>
      </w:r>
      <w:bookmarkEnd w:id="13"/>
      <w:bookmarkEnd w:id="14"/>
      <w:bookmarkEnd w:id="15"/>
    </w:p>
    <w:p w:rsidR="00DA59E3" w:rsidRPr="008D3BB2" w:rsidRDefault="00DA59E3" w:rsidP="00FD1805">
      <w:pPr>
        <w:pStyle w:val="ListParagraph"/>
        <w:jc w:val="both"/>
        <w:rPr>
          <w:sz w:val="22"/>
          <w:szCs w:val="22"/>
        </w:rPr>
      </w:pPr>
      <w:r w:rsidRPr="008D3BB2">
        <w:rPr>
          <w:sz w:val="22"/>
          <w:szCs w:val="22"/>
        </w:rPr>
        <w:t>The presentation of the current line item “Debt Impairment” used in the Budget Reporting Tables (as</w:t>
      </w:r>
      <w:r w:rsidR="00D7273B" w:rsidRPr="008D3BB2">
        <w:rPr>
          <w:sz w:val="22"/>
          <w:szCs w:val="22"/>
        </w:rPr>
        <w:t xml:space="preserve"> </w:t>
      </w:r>
      <w:r w:rsidRPr="008D3BB2">
        <w:rPr>
          <w:sz w:val="22"/>
          <w:szCs w:val="22"/>
        </w:rPr>
        <w:t xml:space="preserve">well as other returns as </w:t>
      </w:r>
      <w:r w:rsidR="0061226B" w:rsidRPr="008D3BB2">
        <w:rPr>
          <w:sz w:val="22"/>
          <w:szCs w:val="22"/>
        </w:rPr>
        <w:t>defined</w:t>
      </w:r>
      <w:r w:rsidRPr="008D3BB2">
        <w:rPr>
          <w:sz w:val="22"/>
          <w:szCs w:val="22"/>
        </w:rPr>
        <w:t xml:space="preserve"> in Annexure A of Position Paper on Reporting), to be aligned to the proposals made in this Position Paper, amongst other tables</w:t>
      </w:r>
      <w:r w:rsidR="0061226B" w:rsidRPr="008D3BB2">
        <w:rPr>
          <w:sz w:val="22"/>
          <w:szCs w:val="22"/>
        </w:rPr>
        <w:t>,</w:t>
      </w:r>
      <w:r w:rsidRPr="008D3BB2">
        <w:rPr>
          <w:sz w:val="22"/>
          <w:szCs w:val="22"/>
        </w:rPr>
        <w:t xml:space="preserve"> </w:t>
      </w:r>
      <w:r w:rsidR="00174CA7" w:rsidRPr="008D3BB2">
        <w:rPr>
          <w:sz w:val="22"/>
          <w:szCs w:val="22"/>
        </w:rPr>
        <w:t>as follows</w:t>
      </w:r>
      <w:r w:rsidRPr="008D3BB2">
        <w:rPr>
          <w:sz w:val="22"/>
          <w:szCs w:val="22"/>
        </w:rPr>
        <w:t xml:space="preserve">:  </w:t>
      </w:r>
    </w:p>
    <w:p w:rsidR="00DA59E3" w:rsidRPr="008D3BB2" w:rsidRDefault="00DA59E3" w:rsidP="00FD1805">
      <w:pPr>
        <w:pStyle w:val="BulletLevelParagraph"/>
        <w:numPr>
          <w:ilvl w:val="3"/>
          <w:numId w:val="1"/>
        </w:numPr>
        <w:ind w:left="1135" w:hanging="284"/>
        <w:rPr>
          <w:sz w:val="22"/>
          <w:szCs w:val="22"/>
        </w:rPr>
      </w:pPr>
      <w:r w:rsidRPr="008D3BB2">
        <w:rPr>
          <w:sz w:val="22"/>
          <w:szCs w:val="22"/>
        </w:rPr>
        <w:t xml:space="preserve">A4:  Budgeted Financial Performance (Revenue and Expenditure) – </w:t>
      </w:r>
      <w:r w:rsidR="000E2DB5" w:rsidRPr="008D3BB2">
        <w:rPr>
          <w:sz w:val="22"/>
          <w:szCs w:val="22"/>
        </w:rPr>
        <w:t>does not provide for a distinction between exchange and non-exchange revenue.</w:t>
      </w:r>
    </w:p>
    <w:p w:rsidR="00DA59E3" w:rsidRPr="008D3BB2" w:rsidRDefault="00DA59E3" w:rsidP="00FD1805">
      <w:pPr>
        <w:pStyle w:val="BulletLevelParagraph"/>
        <w:numPr>
          <w:ilvl w:val="3"/>
          <w:numId w:val="1"/>
        </w:numPr>
        <w:ind w:left="1135" w:hanging="284"/>
        <w:rPr>
          <w:sz w:val="22"/>
          <w:szCs w:val="22"/>
        </w:rPr>
      </w:pPr>
      <w:r w:rsidRPr="008D3BB2">
        <w:rPr>
          <w:sz w:val="22"/>
          <w:szCs w:val="22"/>
        </w:rPr>
        <w:t>SA2:  Matrix Financial Performance Budget (Revenue source/expenditure type and department)</w:t>
      </w:r>
      <w:r w:rsidR="000E2DB5" w:rsidRPr="008D3BB2">
        <w:rPr>
          <w:sz w:val="22"/>
          <w:szCs w:val="22"/>
        </w:rPr>
        <w:t xml:space="preserve"> – does not provide for a distinction between exchange and non-exchange revenue.</w:t>
      </w:r>
    </w:p>
    <w:p w:rsidR="000E2DB5" w:rsidRPr="008D3BB2" w:rsidRDefault="00DA59E3" w:rsidP="00FD1805">
      <w:pPr>
        <w:pStyle w:val="BulletLevelParagraph"/>
        <w:numPr>
          <w:ilvl w:val="3"/>
          <w:numId w:val="1"/>
        </w:numPr>
        <w:ind w:left="1135" w:hanging="284"/>
        <w:rPr>
          <w:sz w:val="22"/>
          <w:szCs w:val="22"/>
        </w:rPr>
      </w:pPr>
      <w:r w:rsidRPr="008D3BB2">
        <w:rPr>
          <w:sz w:val="22"/>
          <w:szCs w:val="22"/>
        </w:rPr>
        <w:t>SA25:  Budgeted Monthly Revenue and Expenditure</w:t>
      </w:r>
      <w:r w:rsidR="000E2DB5" w:rsidRPr="008D3BB2">
        <w:rPr>
          <w:sz w:val="22"/>
          <w:szCs w:val="22"/>
        </w:rPr>
        <w:t xml:space="preserve"> – does not provide for a distinction between exchange and non-exchange revenue.</w:t>
      </w:r>
    </w:p>
    <w:p w:rsidR="00DA59E3" w:rsidRPr="008B29EC" w:rsidRDefault="00DA59E3" w:rsidP="008B29EC">
      <w:pPr>
        <w:pStyle w:val="Heading2"/>
        <w:rPr>
          <w:rFonts w:ascii="Arial" w:hAnsi="Arial" w:cs="Arial"/>
          <w:color w:val="auto"/>
          <w:sz w:val="24"/>
          <w:szCs w:val="24"/>
        </w:rPr>
      </w:pPr>
      <w:bookmarkStart w:id="16" w:name="_Toc456597830"/>
      <w:bookmarkStart w:id="17" w:name="_Toc456353328"/>
      <w:r w:rsidRPr="008B29EC">
        <w:rPr>
          <w:rFonts w:ascii="Arial" w:hAnsi="Arial" w:cs="Arial"/>
          <w:color w:val="auto"/>
          <w:sz w:val="24"/>
          <w:szCs w:val="24"/>
        </w:rPr>
        <w:t xml:space="preserve">CONCLUSION </w:t>
      </w:r>
      <w:bookmarkEnd w:id="16"/>
    </w:p>
    <w:p w:rsidR="00DA59E3" w:rsidRPr="008D3BB2" w:rsidRDefault="000E2DB5" w:rsidP="00FD1805">
      <w:pPr>
        <w:pStyle w:val="ListParagraph"/>
        <w:jc w:val="both"/>
        <w:rPr>
          <w:sz w:val="22"/>
          <w:szCs w:val="22"/>
        </w:rPr>
      </w:pPr>
      <w:r w:rsidRPr="008D3BB2">
        <w:rPr>
          <w:sz w:val="22"/>
          <w:szCs w:val="22"/>
        </w:rPr>
        <w:t xml:space="preserve">This </w:t>
      </w:r>
      <w:r w:rsidR="00DA59E3" w:rsidRPr="008D3BB2">
        <w:rPr>
          <w:sz w:val="22"/>
          <w:szCs w:val="22"/>
        </w:rPr>
        <w:t xml:space="preserve">Position Paper </w:t>
      </w:r>
      <w:r w:rsidRPr="008D3BB2">
        <w:rPr>
          <w:sz w:val="22"/>
          <w:szCs w:val="22"/>
        </w:rPr>
        <w:t xml:space="preserve">confirms the dual classification of “licences and permits” based on judgement of management between “exchange and non-exchange revenue” as provided for in Version 5.5 of the </w:t>
      </w:r>
      <w:r w:rsidRPr="008B29EC">
        <w:rPr>
          <w:i/>
          <w:sz w:val="22"/>
          <w:szCs w:val="22"/>
        </w:rPr>
        <w:t>m</w:t>
      </w:r>
      <w:r w:rsidRPr="008D3BB2">
        <w:rPr>
          <w:sz w:val="22"/>
          <w:szCs w:val="22"/>
        </w:rPr>
        <w:t>SCOA Tables</w:t>
      </w:r>
    </w:p>
    <w:p w:rsidR="00DA59E3" w:rsidRPr="008D3BB2" w:rsidRDefault="000E2DB5" w:rsidP="00FD1805">
      <w:pPr>
        <w:pStyle w:val="ListParagraph"/>
        <w:jc w:val="both"/>
        <w:rPr>
          <w:sz w:val="22"/>
          <w:szCs w:val="22"/>
        </w:rPr>
      </w:pPr>
      <w:r w:rsidRPr="008D3BB2">
        <w:rPr>
          <w:sz w:val="22"/>
          <w:szCs w:val="22"/>
        </w:rPr>
        <w:t xml:space="preserve">If further classification </w:t>
      </w:r>
      <w:r w:rsidR="00CA2292" w:rsidRPr="008D3BB2">
        <w:rPr>
          <w:sz w:val="22"/>
          <w:szCs w:val="22"/>
        </w:rPr>
        <w:t>is</w:t>
      </w:r>
      <w:r w:rsidRPr="008D3BB2">
        <w:rPr>
          <w:sz w:val="22"/>
          <w:szCs w:val="22"/>
        </w:rPr>
        <w:t xml:space="preserve"> required</w:t>
      </w:r>
      <w:r w:rsidR="00CA2292" w:rsidRPr="008D3BB2">
        <w:rPr>
          <w:sz w:val="22"/>
          <w:szCs w:val="22"/>
        </w:rPr>
        <w:t>,</w:t>
      </w:r>
      <w:r w:rsidRPr="008D3BB2">
        <w:rPr>
          <w:sz w:val="22"/>
          <w:szCs w:val="22"/>
        </w:rPr>
        <w:t xml:space="preserve"> </w:t>
      </w:r>
      <w:r w:rsidR="00DE67F9" w:rsidRPr="008D3BB2">
        <w:rPr>
          <w:sz w:val="22"/>
          <w:szCs w:val="22"/>
        </w:rPr>
        <w:t xml:space="preserve">subject </w:t>
      </w:r>
      <w:r w:rsidRPr="008D3BB2">
        <w:rPr>
          <w:sz w:val="22"/>
          <w:szCs w:val="22"/>
        </w:rPr>
        <w:t>to the same principle of dual classification</w:t>
      </w:r>
      <w:r w:rsidR="0061226B" w:rsidRPr="008D3BB2">
        <w:rPr>
          <w:sz w:val="22"/>
          <w:szCs w:val="22"/>
        </w:rPr>
        <w:t>,</w:t>
      </w:r>
      <w:r w:rsidRPr="008D3BB2">
        <w:rPr>
          <w:sz w:val="22"/>
          <w:szCs w:val="22"/>
        </w:rPr>
        <w:t xml:space="preserve"> consideration will be given based on motivations presented to National Treasury through the FAQ DB.  </w:t>
      </w:r>
      <w:bookmarkEnd w:id="17"/>
    </w:p>
    <w:p w:rsidR="000E2DB5" w:rsidRPr="008D3BB2" w:rsidRDefault="000E2DB5" w:rsidP="00FD1805">
      <w:pPr>
        <w:pStyle w:val="ListParagraph"/>
        <w:jc w:val="both"/>
        <w:rPr>
          <w:sz w:val="22"/>
          <w:szCs w:val="22"/>
        </w:rPr>
      </w:pPr>
      <w:r w:rsidRPr="008D3BB2">
        <w:rPr>
          <w:sz w:val="22"/>
          <w:szCs w:val="22"/>
        </w:rPr>
        <w:t xml:space="preserve">The municipalities audit file need to keep sufficient documentation and motivation for the decision made by management for purposes of retaining </w:t>
      </w:r>
      <w:r w:rsidR="0061226B" w:rsidRPr="008D3BB2">
        <w:rPr>
          <w:sz w:val="22"/>
          <w:szCs w:val="22"/>
        </w:rPr>
        <w:t>an</w:t>
      </w:r>
      <w:r w:rsidRPr="008D3BB2">
        <w:rPr>
          <w:sz w:val="22"/>
          <w:szCs w:val="22"/>
        </w:rPr>
        <w:t xml:space="preserve"> audit trail in support of implementing the </w:t>
      </w:r>
      <w:r w:rsidRPr="008B29EC">
        <w:rPr>
          <w:i/>
          <w:sz w:val="22"/>
          <w:szCs w:val="22"/>
        </w:rPr>
        <w:t>m</w:t>
      </w:r>
      <w:r w:rsidRPr="008D3BB2">
        <w:rPr>
          <w:sz w:val="22"/>
          <w:szCs w:val="22"/>
        </w:rPr>
        <w:t>SCOA Classification Framework.</w:t>
      </w:r>
    </w:p>
    <w:p w:rsidR="00DA59E3" w:rsidRPr="008B29EC" w:rsidRDefault="00DA59E3" w:rsidP="008B29EC">
      <w:pPr>
        <w:pStyle w:val="Heading2"/>
        <w:rPr>
          <w:rFonts w:ascii="Arial" w:hAnsi="Arial" w:cs="Arial"/>
          <w:color w:val="auto"/>
          <w:sz w:val="24"/>
          <w:szCs w:val="24"/>
        </w:rPr>
      </w:pPr>
      <w:bookmarkStart w:id="18" w:name="_Toc456353329"/>
      <w:bookmarkStart w:id="19" w:name="_Toc456597831"/>
      <w:r w:rsidRPr="008B29EC">
        <w:rPr>
          <w:rFonts w:ascii="Arial" w:hAnsi="Arial" w:cs="Arial"/>
          <w:color w:val="auto"/>
          <w:sz w:val="24"/>
          <w:szCs w:val="24"/>
        </w:rPr>
        <w:t xml:space="preserve">RECOMMENDATION </w:t>
      </w:r>
      <w:bookmarkEnd w:id="18"/>
      <w:bookmarkEnd w:id="19"/>
    </w:p>
    <w:p w:rsidR="00DA59E3" w:rsidRPr="008D3BB2" w:rsidRDefault="00DA59E3" w:rsidP="00FD1805">
      <w:pPr>
        <w:pStyle w:val="ListParagraph"/>
        <w:jc w:val="both"/>
        <w:rPr>
          <w:sz w:val="22"/>
          <w:szCs w:val="22"/>
        </w:rPr>
      </w:pPr>
      <w:r w:rsidRPr="008D3BB2">
        <w:rPr>
          <w:rFonts w:ascii="Calibri,Arial" w:hAnsi="Calibri,Arial"/>
          <w:sz w:val="22"/>
          <w:szCs w:val="22"/>
        </w:rPr>
        <w:t xml:space="preserve">The </w:t>
      </w:r>
      <w:r w:rsidRPr="008B29EC">
        <w:rPr>
          <w:rFonts w:ascii="Calibri,Arial" w:hAnsi="Calibri,Arial"/>
          <w:i/>
          <w:sz w:val="22"/>
          <w:szCs w:val="22"/>
        </w:rPr>
        <w:t>m</w:t>
      </w:r>
      <w:r w:rsidRPr="008D3BB2">
        <w:rPr>
          <w:rFonts w:ascii="Calibri,Arial" w:hAnsi="Calibri,Arial"/>
          <w:sz w:val="22"/>
          <w:szCs w:val="22"/>
        </w:rPr>
        <w:t>SCOA Project Steering Committee to note:</w:t>
      </w:r>
    </w:p>
    <w:p w:rsidR="00DA59E3" w:rsidRPr="008D3BB2" w:rsidRDefault="00DA59E3" w:rsidP="00FD1805">
      <w:pPr>
        <w:pStyle w:val="BulletLevelParagraph"/>
        <w:numPr>
          <w:ilvl w:val="3"/>
          <w:numId w:val="1"/>
        </w:numPr>
        <w:ind w:left="1135" w:hanging="284"/>
        <w:rPr>
          <w:sz w:val="22"/>
          <w:szCs w:val="22"/>
        </w:rPr>
      </w:pPr>
      <w:r w:rsidRPr="008D3BB2">
        <w:rPr>
          <w:sz w:val="22"/>
          <w:szCs w:val="22"/>
        </w:rPr>
        <w:t xml:space="preserve">Version1 of this Position Paper on </w:t>
      </w:r>
      <w:r w:rsidR="000E2DB5" w:rsidRPr="008D3BB2">
        <w:rPr>
          <w:sz w:val="22"/>
          <w:szCs w:val="22"/>
        </w:rPr>
        <w:t>Exchange and Non-exchange Revenue</w:t>
      </w:r>
      <w:r w:rsidRPr="008D3BB2">
        <w:rPr>
          <w:sz w:val="22"/>
          <w:szCs w:val="22"/>
        </w:rPr>
        <w:t xml:space="preserve"> was discussed and presented to the ICF at the 9 September 2015</w:t>
      </w:r>
      <w:r w:rsidR="0061226B" w:rsidRPr="008D3BB2">
        <w:rPr>
          <w:sz w:val="22"/>
          <w:szCs w:val="22"/>
        </w:rPr>
        <w:t xml:space="preserve"> meeting</w:t>
      </w:r>
      <w:r w:rsidRPr="008D3BB2">
        <w:rPr>
          <w:sz w:val="22"/>
          <w:szCs w:val="22"/>
        </w:rPr>
        <w:t>.</w:t>
      </w:r>
    </w:p>
    <w:p w:rsidR="00DA59E3" w:rsidRPr="008D3BB2" w:rsidRDefault="00DA59E3" w:rsidP="00FD1805">
      <w:pPr>
        <w:pStyle w:val="BulletLevelParagraph"/>
        <w:numPr>
          <w:ilvl w:val="3"/>
          <w:numId w:val="1"/>
        </w:numPr>
        <w:ind w:left="1135" w:hanging="284"/>
        <w:rPr>
          <w:sz w:val="22"/>
          <w:szCs w:val="22"/>
        </w:rPr>
      </w:pPr>
      <w:r w:rsidRPr="008D3BB2">
        <w:rPr>
          <w:sz w:val="22"/>
          <w:szCs w:val="22"/>
        </w:rPr>
        <w:t>Content discussed and agree</w:t>
      </w:r>
      <w:r w:rsidR="00CF3529" w:rsidRPr="008D3BB2">
        <w:rPr>
          <w:sz w:val="22"/>
          <w:szCs w:val="22"/>
        </w:rPr>
        <w:t>d to</w:t>
      </w:r>
      <w:r w:rsidRPr="008D3BB2">
        <w:rPr>
          <w:sz w:val="22"/>
          <w:szCs w:val="22"/>
        </w:rPr>
        <w:t xml:space="preserve"> with the ASB</w:t>
      </w:r>
      <w:r w:rsidR="000E2DB5" w:rsidRPr="008D3BB2">
        <w:rPr>
          <w:sz w:val="22"/>
          <w:szCs w:val="22"/>
        </w:rPr>
        <w:t xml:space="preserve"> by the OAG on 15 February 2016</w:t>
      </w:r>
      <w:r w:rsidRPr="008D3BB2">
        <w:rPr>
          <w:sz w:val="22"/>
          <w:szCs w:val="22"/>
        </w:rPr>
        <w:t>.</w:t>
      </w:r>
    </w:p>
    <w:p w:rsidR="00DA59E3" w:rsidRPr="008D3BB2" w:rsidRDefault="00DA59E3" w:rsidP="00FD1805">
      <w:pPr>
        <w:pStyle w:val="BulletLevelParagraph"/>
        <w:numPr>
          <w:ilvl w:val="3"/>
          <w:numId w:val="1"/>
        </w:numPr>
        <w:ind w:left="1135" w:hanging="284"/>
        <w:rPr>
          <w:sz w:val="22"/>
          <w:szCs w:val="22"/>
        </w:rPr>
      </w:pPr>
      <w:r w:rsidRPr="008D3BB2">
        <w:rPr>
          <w:sz w:val="22"/>
          <w:szCs w:val="22"/>
        </w:rPr>
        <w:t xml:space="preserve">Comment period offered to the ASB Forum Members and invitation extended to all municipalities / provincial treasuries from beginning of March to 8 April 2016.  Comments received up to 12 July 2016 considered in finalisation of the Position Paper.  </w:t>
      </w:r>
    </w:p>
    <w:p w:rsidR="00DA59E3" w:rsidRPr="008D3BB2" w:rsidRDefault="00DA59E3" w:rsidP="00FD1805">
      <w:pPr>
        <w:pStyle w:val="BulletLevelParagraph"/>
        <w:numPr>
          <w:ilvl w:val="3"/>
          <w:numId w:val="1"/>
        </w:numPr>
        <w:ind w:left="1135" w:hanging="284"/>
        <w:rPr>
          <w:sz w:val="22"/>
          <w:szCs w:val="22"/>
        </w:rPr>
      </w:pPr>
      <w:r w:rsidRPr="008D3BB2">
        <w:rPr>
          <w:sz w:val="22"/>
          <w:szCs w:val="22"/>
        </w:rPr>
        <w:t xml:space="preserve">Position Paper to be recommended for publishing to the National Treasury Web.  </w:t>
      </w:r>
    </w:p>
    <w:p w:rsidR="00FF5F4E" w:rsidRDefault="00FF5F4E" w:rsidP="00FD1805">
      <w:pPr>
        <w:tabs>
          <w:tab w:val="left" w:pos="1950"/>
        </w:tabs>
        <w:jc w:val="both"/>
      </w:pPr>
    </w:p>
    <w:p w:rsidR="00C73417" w:rsidRDefault="00C73417" w:rsidP="00FD1805">
      <w:pPr>
        <w:pStyle w:val="Heading1"/>
        <w:jc w:val="both"/>
        <w:sectPr w:rsidR="00C73417" w:rsidSect="007677C6">
          <w:pgSz w:w="11906" w:h="16838"/>
          <w:pgMar w:top="1440" w:right="1440" w:bottom="1440" w:left="1440" w:header="708" w:footer="708" w:gutter="0"/>
          <w:cols w:space="708"/>
          <w:docGrid w:linePitch="360"/>
        </w:sectPr>
      </w:pPr>
      <w:bookmarkStart w:id="20" w:name="_Toc456353332"/>
    </w:p>
    <w:p w:rsidR="00C73417" w:rsidRPr="008B29EC" w:rsidRDefault="00C73417" w:rsidP="008B29EC">
      <w:pPr>
        <w:pStyle w:val="Heading2"/>
        <w:rPr>
          <w:rFonts w:ascii="Arial" w:hAnsi="Arial" w:cs="Arial"/>
          <w:color w:val="auto"/>
          <w:sz w:val="24"/>
          <w:szCs w:val="24"/>
        </w:rPr>
      </w:pPr>
      <w:bookmarkStart w:id="21" w:name="_Toc456597832"/>
      <w:r w:rsidRPr="008B29EC">
        <w:rPr>
          <w:rFonts w:ascii="Arial" w:hAnsi="Arial" w:cs="Arial"/>
          <w:color w:val="auto"/>
          <w:sz w:val="24"/>
          <w:szCs w:val="24"/>
        </w:rPr>
        <w:t xml:space="preserve">ANNEXURE </w:t>
      </w:r>
      <w:r w:rsidR="00494EB9" w:rsidRPr="008B29EC">
        <w:rPr>
          <w:rFonts w:ascii="Arial" w:hAnsi="Arial" w:cs="Arial"/>
          <w:color w:val="auto"/>
          <w:sz w:val="24"/>
          <w:szCs w:val="24"/>
        </w:rPr>
        <w:t>A</w:t>
      </w:r>
      <w:r w:rsidRPr="008B29EC">
        <w:rPr>
          <w:rFonts w:ascii="Arial" w:hAnsi="Arial" w:cs="Arial"/>
          <w:color w:val="auto"/>
          <w:sz w:val="24"/>
          <w:szCs w:val="24"/>
        </w:rPr>
        <w:t>: COMMENTS AND QUERIES RECEIVED INFORMING THE PROBLEM STATEMENT</w:t>
      </w:r>
      <w:bookmarkEnd w:id="20"/>
      <w:bookmarkEnd w:id="21"/>
    </w:p>
    <w:tbl>
      <w:tblPr>
        <w:tblW w:w="5000" w:type="pct"/>
        <w:tblBorders>
          <w:top w:val="single" w:sz="18" w:space="0" w:color="auto"/>
          <w:bottom w:val="single" w:sz="18" w:space="0" w:color="auto"/>
        </w:tblBorders>
        <w:tblLook w:val="04A0" w:firstRow="1" w:lastRow="0" w:firstColumn="1" w:lastColumn="0" w:noHBand="0" w:noVBand="1"/>
      </w:tblPr>
      <w:tblGrid>
        <w:gridCol w:w="1359"/>
        <w:gridCol w:w="1399"/>
        <w:gridCol w:w="966"/>
        <w:gridCol w:w="5326"/>
        <w:gridCol w:w="4908"/>
      </w:tblGrid>
      <w:tr w:rsidR="00747F7F" w:rsidRPr="00FD1805" w:rsidTr="008B29EC">
        <w:trPr>
          <w:tblHeader/>
        </w:trPr>
        <w:tc>
          <w:tcPr>
            <w:tcW w:w="487" w:type="pct"/>
            <w:tcBorders>
              <w:top w:val="single" w:sz="18" w:space="0" w:color="auto"/>
              <w:bottom w:val="single" w:sz="18" w:space="0" w:color="auto"/>
            </w:tcBorders>
            <w:shd w:val="clear" w:color="auto" w:fill="C00000"/>
          </w:tcPr>
          <w:p w:rsidR="00C73417" w:rsidRPr="00FD1805" w:rsidRDefault="00C73417" w:rsidP="00FD1805">
            <w:pPr>
              <w:spacing w:before="120" w:after="120" w:line="240" w:lineRule="auto"/>
              <w:jc w:val="both"/>
              <w:rPr>
                <w:b/>
                <w:bCs/>
                <w:color w:val="FFFFFF"/>
              </w:rPr>
            </w:pPr>
            <w:r w:rsidRPr="00FD1805">
              <w:rPr>
                <w:b/>
                <w:bCs/>
                <w:color w:val="FFFFFF"/>
              </w:rPr>
              <w:t>Reference / Date</w:t>
            </w:r>
          </w:p>
        </w:tc>
        <w:tc>
          <w:tcPr>
            <w:tcW w:w="501" w:type="pct"/>
            <w:tcBorders>
              <w:top w:val="single" w:sz="18" w:space="0" w:color="auto"/>
              <w:left w:val="nil"/>
              <w:bottom w:val="single" w:sz="18" w:space="0" w:color="auto"/>
              <w:right w:val="nil"/>
            </w:tcBorders>
            <w:shd w:val="clear" w:color="auto" w:fill="C00000"/>
          </w:tcPr>
          <w:p w:rsidR="00C73417" w:rsidRPr="00FD1805" w:rsidRDefault="00C73417" w:rsidP="00FD1805">
            <w:pPr>
              <w:spacing w:before="120" w:after="120" w:line="240" w:lineRule="auto"/>
              <w:jc w:val="both"/>
              <w:rPr>
                <w:b/>
                <w:bCs/>
                <w:color w:val="FFFFFF"/>
              </w:rPr>
            </w:pPr>
            <w:r w:rsidRPr="00FD1805">
              <w:rPr>
                <w:b/>
                <w:bCs/>
                <w:color w:val="FFFFFF"/>
              </w:rPr>
              <w:t>From</w:t>
            </w:r>
          </w:p>
        </w:tc>
        <w:tc>
          <w:tcPr>
            <w:tcW w:w="346" w:type="pct"/>
            <w:tcBorders>
              <w:top w:val="single" w:sz="18" w:space="0" w:color="auto"/>
              <w:bottom w:val="single" w:sz="18" w:space="0" w:color="auto"/>
            </w:tcBorders>
            <w:shd w:val="clear" w:color="auto" w:fill="C00000"/>
          </w:tcPr>
          <w:p w:rsidR="00C73417" w:rsidRPr="00FD1805" w:rsidRDefault="00C73417" w:rsidP="00FD1805">
            <w:pPr>
              <w:spacing w:before="120" w:after="120" w:line="240" w:lineRule="auto"/>
              <w:jc w:val="both"/>
              <w:rPr>
                <w:b/>
                <w:bCs/>
                <w:color w:val="FFFFFF"/>
              </w:rPr>
            </w:pPr>
            <w:r w:rsidRPr="00FD1805">
              <w:rPr>
                <w:b/>
                <w:bCs/>
                <w:color w:val="FFFFFF"/>
              </w:rPr>
              <w:t>Number</w:t>
            </w:r>
          </w:p>
        </w:tc>
        <w:tc>
          <w:tcPr>
            <w:tcW w:w="1908" w:type="pct"/>
            <w:tcBorders>
              <w:top w:val="single" w:sz="18" w:space="0" w:color="auto"/>
              <w:left w:val="nil"/>
              <w:bottom w:val="single" w:sz="18" w:space="0" w:color="auto"/>
              <w:right w:val="nil"/>
            </w:tcBorders>
            <w:shd w:val="clear" w:color="auto" w:fill="C00000"/>
          </w:tcPr>
          <w:p w:rsidR="00C73417" w:rsidRPr="00FD1805" w:rsidRDefault="00C73417" w:rsidP="00FD1805">
            <w:pPr>
              <w:spacing w:before="120" w:after="120" w:line="240" w:lineRule="auto"/>
              <w:jc w:val="both"/>
              <w:rPr>
                <w:b/>
                <w:bCs/>
                <w:color w:val="FFFFFF"/>
              </w:rPr>
            </w:pPr>
            <w:r w:rsidRPr="00FD1805">
              <w:rPr>
                <w:b/>
                <w:bCs/>
                <w:color w:val="FFFFFF"/>
              </w:rPr>
              <w:t>Query</w:t>
            </w:r>
          </w:p>
        </w:tc>
        <w:tc>
          <w:tcPr>
            <w:tcW w:w="1758" w:type="pct"/>
            <w:tcBorders>
              <w:top w:val="single" w:sz="18" w:space="0" w:color="auto"/>
              <w:bottom w:val="single" w:sz="18" w:space="0" w:color="auto"/>
            </w:tcBorders>
            <w:shd w:val="clear" w:color="auto" w:fill="C00000"/>
          </w:tcPr>
          <w:p w:rsidR="00C73417" w:rsidRPr="00FD1805" w:rsidRDefault="00C73417" w:rsidP="00FD1805">
            <w:pPr>
              <w:spacing w:before="120" w:after="120" w:line="240" w:lineRule="auto"/>
              <w:jc w:val="both"/>
              <w:rPr>
                <w:b/>
                <w:bCs/>
                <w:color w:val="FFFFFF"/>
              </w:rPr>
            </w:pPr>
            <w:r w:rsidRPr="00FD1805">
              <w:rPr>
                <w:b/>
                <w:bCs/>
                <w:color w:val="FFFFFF"/>
              </w:rPr>
              <w:t>Response</w:t>
            </w:r>
          </w:p>
        </w:tc>
      </w:tr>
      <w:tr w:rsidR="000C0147" w:rsidRPr="00FD1805" w:rsidTr="008B29EC">
        <w:tc>
          <w:tcPr>
            <w:tcW w:w="0" w:type="pct"/>
            <w:vMerge w:val="restart"/>
            <w:shd w:val="clear" w:color="auto" w:fill="C00000"/>
          </w:tcPr>
          <w:p w:rsidR="000C0147" w:rsidRPr="00FD1805" w:rsidRDefault="000C0147" w:rsidP="00FD1805">
            <w:pPr>
              <w:spacing w:before="120" w:after="120" w:line="240" w:lineRule="auto"/>
              <w:jc w:val="both"/>
              <w:rPr>
                <w:b/>
                <w:bCs/>
                <w:color w:val="FFFFFF"/>
              </w:rPr>
            </w:pPr>
            <w:r w:rsidRPr="00FD1805">
              <w:rPr>
                <w:b/>
                <w:bCs/>
                <w:color w:val="FFFFFF"/>
              </w:rPr>
              <w:t>Letter/Email</w:t>
            </w:r>
          </w:p>
          <w:p w:rsidR="000C0147" w:rsidRPr="00FD1805" w:rsidRDefault="000C0147" w:rsidP="00FD1805">
            <w:pPr>
              <w:spacing w:before="120" w:after="120" w:line="240" w:lineRule="auto"/>
              <w:jc w:val="both"/>
              <w:rPr>
                <w:b/>
                <w:bCs/>
                <w:color w:val="FFFFFF"/>
              </w:rPr>
            </w:pPr>
            <w:r w:rsidRPr="00FD1805">
              <w:rPr>
                <w:b/>
                <w:bCs/>
                <w:color w:val="FFFFFF"/>
              </w:rPr>
              <w:t>7 April 2016</w:t>
            </w:r>
          </w:p>
          <w:p w:rsidR="000C0147" w:rsidRPr="00FD1805" w:rsidRDefault="000C0147" w:rsidP="00FD1805">
            <w:pPr>
              <w:spacing w:before="120" w:after="120" w:line="240" w:lineRule="auto"/>
              <w:jc w:val="both"/>
              <w:rPr>
                <w:b/>
                <w:bCs/>
                <w:color w:val="FFFFFF"/>
              </w:rPr>
            </w:pPr>
          </w:p>
        </w:tc>
        <w:tc>
          <w:tcPr>
            <w:tcW w:w="501" w:type="pct"/>
            <w:vMerge w:val="restart"/>
            <w:shd w:val="clear" w:color="auto" w:fill="D8D8D8"/>
          </w:tcPr>
          <w:p w:rsidR="000C0147" w:rsidRPr="00FD1805" w:rsidRDefault="000C0147" w:rsidP="00FD1805">
            <w:pPr>
              <w:spacing w:before="120" w:after="120" w:line="240" w:lineRule="auto"/>
              <w:jc w:val="both"/>
            </w:pPr>
            <w:r w:rsidRPr="00FD1805">
              <w:t xml:space="preserve">Jeanine </w:t>
            </w:r>
            <w:proofErr w:type="spellStart"/>
            <w:r w:rsidRPr="00FD1805">
              <w:t>Poggiolini</w:t>
            </w:r>
            <w:proofErr w:type="spellEnd"/>
          </w:p>
          <w:p w:rsidR="000C0147" w:rsidRPr="00FD1805" w:rsidRDefault="000C0147" w:rsidP="00FD1805">
            <w:pPr>
              <w:spacing w:before="120" w:after="120" w:line="240" w:lineRule="auto"/>
              <w:jc w:val="both"/>
            </w:pPr>
            <w:r w:rsidRPr="00FD1805">
              <w:t>ASB</w:t>
            </w:r>
          </w:p>
        </w:tc>
        <w:tc>
          <w:tcPr>
            <w:tcW w:w="0" w:type="pct"/>
            <w:shd w:val="clear" w:color="auto" w:fill="D8D8D8"/>
          </w:tcPr>
          <w:p w:rsidR="000C0147" w:rsidRPr="00FD1805" w:rsidRDefault="00C172C1" w:rsidP="00FD1805">
            <w:pPr>
              <w:spacing w:before="120" w:after="120" w:line="240" w:lineRule="auto"/>
              <w:jc w:val="both"/>
            </w:pPr>
            <w:r w:rsidRPr="00FD1805">
              <w:t>1.</w:t>
            </w:r>
          </w:p>
        </w:tc>
        <w:tc>
          <w:tcPr>
            <w:tcW w:w="1908" w:type="pct"/>
            <w:shd w:val="clear" w:color="auto" w:fill="D8D8D8"/>
          </w:tcPr>
          <w:p w:rsidR="000C0147" w:rsidRPr="00FD1805" w:rsidRDefault="000C0147" w:rsidP="00FD1805">
            <w:pPr>
              <w:spacing w:before="120" w:after="120" w:line="240" w:lineRule="auto"/>
              <w:jc w:val="both"/>
            </w:pPr>
            <w:r w:rsidRPr="00FD1805">
              <w:t xml:space="preserve">The Project Summary Document Still seems to only allow classification of certain items of revenue as either exchange or non-exchange.  The flexibility proposed in the position paper does not seem to be reflected in the Project Summary Document.  </w:t>
            </w:r>
          </w:p>
        </w:tc>
        <w:tc>
          <w:tcPr>
            <w:tcW w:w="1758" w:type="pct"/>
            <w:shd w:val="clear" w:color="auto" w:fill="D8D8D8"/>
          </w:tcPr>
          <w:p w:rsidR="000C0147" w:rsidRPr="00FD1805" w:rsidRDefault="000C0147" w:rsidP="00FD1805">
            <w:pPr>
              <w:spacing w:before="120" w:after="120" w:line="240" w:lineRule="auto"/>
              <w:jc w:val="both"/>
            </w:pPr>
            <w:r w:rsidRPr="00FD1805">
              <w:t xml:space="preserve">The PSD is aligned to mSCOA Version 5.4, which only provides for licences and permits to be classified either as exchange or non-exchange.  If any other requests are received through the FAQ DB additional classification will be considered.  The Position Paper also only provide for Licences and Permits.  </w:t>
            </w:r>
          </w:p>
        </w:tc>
      </w:tr>
      <w:tr w:rsidR="000C0147" w:rsidRPr="00FD1805" w:rsidTr="008B29EC">
        <w:tc>
          <w:tcPr>
            <w:tcW w:w="0" w:type="pct"/>
            <w:vMerge/>
            <w:shd w:val="clear" w:color="auto" w:fill="C00000"/>
          </w:tcPr>
          <w:p w:rsidR="000C0147" w:rsidRPr="00FD1805" w:rsidRDefault="000C0147" w:rsidP="00FD1805">
            <w:pPr>
              <w:spacing w:before="120" w:after="120" w:line="240" w:lineRule="auto"/>
              <w:jc w:val="both"/>
              <w:rPr>
                <w:b/>
                <w:bCs/>
                <w:color w:val="FFFFFF"/>
              </w:rPr>
            </w:pPr>
          </w:p>
        </w:tc>
        <w:tc>
          <w:tcPr>
            <w:tcW w:w="501" w:type="pct"/>
            <w:vMerge/>
            <w:shd w:val="clear" w:color="auto" w:fill="auto"/>
          </w:tcPr>
          <w:p w:rsidR="000C0147" w:rsidRPr="00FD1805" w:rsidRDefault="000C0147" w:rsidP="00FD1805">
            <w:pPr>
              <w:spacing w:before="120" w:after="120" w:line="240" w:lineRule="auto"/>
              <w:jc w:val="both"/>
            </w:pPr>
          </w:p>
        </w:tc>
        <w:tc>
          <w:tcPr>
            <w:tcW w:w="0" w:type="pct"/>
            <w:shd w:val="clear" w:color="auto" w:fill="auto"/>
          </w:tcPr>
          <w:p w:rsidR="000C0147" w:rsidRPr="00FD1805" w:rsidRDefault="00C172C1" w:rsidP="00FD1805">
            <w:pPr>
              <w:spacing w:before="120" w:after="120" w:line="240" w:lineRule="auto"/>
              <w:jc w:val="both"/>
            </w:pPr>
            <w:r w:rsidRPr="00FD1805">
              <w:t>2.</w:t>
            </w:r>
          </w:p>
        </w:tc>
        <w:tc>
          <w:tcPr>
            <w:tcW w:w="1908" w:type="pct"/>
            <w:shd w:val="clear" w:color="auto" w:fill="auto"/>
          </w:tcPr>
          <w:p w:rsidR="000C0147" w:rsidRPr="00FD1805" w:rsidRDefault="000C0147" w:rsidP="00FD1805">
            <w:pPr>
              <w:spacing w:before="120" w:after="120" w:line="240" w:lineRule="auto"/>
              <w:jc w:val="both"/>
            </w:pPr>
            <w:r w:rsidRPr="00FD1805">
              <w:t xml:space="preserve">The FAQ quoted in the paper has also been updated and should be amended accordingly.  </w:t>
            </w:r>
          </w:p>
        </w:tc>
        <w:tc>
          <w:tcPr>
            <w:tcW w:w="1758" w:type="pct"/>
            <w:shd w:val="clear" w:color="auto" w:fill="auto"/>
          </w:tcPr>
          <w:p w:rsidR="000C0147" w:rsidRPr="00FD1805" w:rsidRDefault="000C0147" w:rsidP="00FD1805">
            <w:pPr>
              <w:spacing w:before="120" w:after="120" w:line="240" w:lineRule="auto"/>
              <w:jc w:val="both"/>
            </w:pPr>
            <w:r w:rsidRPr="00FD1805">
              <w:t>FAQ updated based on the April 2016 release.</w:t>
            </w:r>
          </w:p>
        </w:tc>
      </w:tr>
      <w:tr w:rsidR="00747F7F" w:rsidRPr="00FD1805" w:rsidTr="008B29EC">
        <w:tc>
          <w:tcPr>
            <w:tcW w:w="487" w:type="pct"/>
            <w:vMerge w:val="restart"/>
            <w:shd w:val="clear" w:color="auto" w:fill="C00000"/>
          </w:tcPr>
          <w:p w:rsidR="00747F7F" w:rsidRPr="00FD1805" w:rsidRDefault="00747F7F" w:rsidP="00FD1805">
            <w:pPr>
              <w:spacing w:before="120" w:after="120" w:line="240" w:lineRule="auto"/>
              <w:jc w:val="both"/>
              <w:rPr>
                <w:b/>
                <w:bCs/>
                <w:color w:val="FFFFFF"/>
              </w:rPr>
            </w:pPr>
            <w:r w:rsidRPr="00FD1805">
              <w:rPr>
                <w:b/>
                <w:bCs/>
                <w:color w:val="FFFFFF"/>
              </w:rPr>
              <w:t>Letter/Email</w:t>
            </w:r>
          </w:p>
          <w:p w:rsidR="00747F7F" w:rsidRPr="00FD1805" w:rsidRDefault="00747F7F" w:rsidP="00FD1805">
            <w:pPr>
              <w:spacing w:before="120" w:after="120" w:line="240" w:lineRule="auto"/>
              <w:jc w:val="both"/>
              <w:rPr>
                <w:b/>
                <w:bCs/>
                <w:color w:val="FFFFFF"/>
              </w:rPr>
            </w:pPr>
            <w:r w:rsidRPr="00FD1805">
              <w:rPr>
                <w:b/>
                <w:bCs/>
                <w:color w:val="FFFFFF"/>
              </w:rPr>
              <w:t>9 May 2016</w:t>
            </w:r>
          </w:p>
        </w:tc>
        <w:tc>
          <w:tcPr>
            <w:tcW w:w="501" w:type="pct"/>
            <w:vMerge w:val="restart"/>
            <w:shd w:val="clear" w:color="auto" w:fill="D8D8D8"/>
          </w:tcPr>
          <w:p w:rsidR="00747F7F" w:rsidRPr="00FD1805" w:rsidRDefault="00747F7F" w:rsidP="00FD1805">
            <w:pPr>
              <w:spacing w:before="120" w:after="120" w:line="240" w:lineRule="auto"/>
              <w:jc w:val="both"/>
            </w:pPr>
            <w:r w:rsidRPr="00FD1805">
              <w:t>Hilton Renald</w:t>
            </w:r>
          </w:p>
          <w:p w:rsidR="00747F7F" w:rsidRPr="00FD1805" w:rsidRDefault="00747F7F" w:rsidP="00FD1805">
            <w:pPr>
              <w:spacing w:before="120" w:after="120" w:line="240" w:lineRule="auto"/>
              <w:jc w:val="both"/>
            </w:pPr>
            <w:proofErr w:type="spellStart"/>
            <w:r w:rsidRPr="00FD1805">
              <w:t>uMahlathuze</w:t>
            </w:r>
            <w:proofErr w:type="spellEnd"/>
          </w:p>
        </w:tc>
        <w:tc>
          <w:tcPr>
            <w:tcW w:w="346" w:type="pct"/>
            <w:shd w:val="clear" w:color="auto" w:fill="D8D8D8"/>
          </w:tcPr>
          <w:p w:rsidR="00747F7F" w:rsidRPr="00FD1805" w:rsidRDefault="00C172C1" w:rsidP="00FD1805">
            <w:pPr>
              <w:spacing w:before="120" w:after="120" w:line="240" w:lineRule="auto"/>
              <w:jc w:val="both"/>
            </w:pPr>
            <w:r w:rsidRPr="00FD1805">
              <w:t>3.</w:t>
            </w:r>
          </w:p>
        </w:tc>
        <w:tc>
          <w:tcPr>
            <w:tcW w:w="1908" w:type="pct"/>
            <w:shd w:val="clear" w:color="auto" w:fill="D8D8D8"/>
          </w:tcPr>
          <w:p w:rsidR="00747F7F" w:rsidRPr="00FD1805" w:rsidRDefault="00747F7F" w:rsidP="00FD1805">
            <w:pPr>
              <w:spacing w:before="120" w:after="120" w:line="240" w:lineRule="auto"/>
              <w:jc w:val="both"/>
            </w:pPr>
            <w:r w:rsidRPr="00FD1805">
              <w:t>Position Paper:  It is noted that Version 5.4 of mSCOA does not have a Revenue Item for “Subscription Fees”.  Although not an issue for this municipality currently this may be a flaw in Version 5.4 going forward.</w:t>
            </w:r>
          </w:p>
        </w:tc>
        <w:tc>
          <w:tcPr>
            <w:tcW w:w="1758" w:type="pct"/>
            <w:shd w:val="clear" w:color="auto" w:fill="D8D8D8"/>
          </w:tcPr>
          <w:p w:rsidR="00747F7F" w:rsidRPr="00FD1805" w:rsidRDefault="00747F7F" w:rsidP="00FD1805">
            <w:pPr>
              <w:spacing w:before="120" w:after="120" w:line="240" w:lineRule="auto"/>
              <w:jc w:val="both"/>
            </w:pPr>
            <w:r w:rsidRPr="00FD1805">
              <w:t xml:space="preserve">The relevance of “Subscriptions Fees” in the context of local government need to be considered.  If any </w:t>
            </w:r>
            <w:r w:rsidR="0092633D" w:rsidRPr="00FD1805">
              <w:t>requests</w:t>
            </w:r>
            <w:r w:rsidRPr="00FD1805">
              <w:t xml:space="preserve"> are received for this classification following the release of the position paper an appropriate classification will be added in mSCOA moving forward.</w:t>
            </w:r>
          </w:p>
        </w:tc>
      </w:tr>
      <w:tr w:rsidR="00747F7F" w:rsidRPr="00FD1805" w:rsidTr="008B29EC">
        <w:tc>
          <w:tcPr>
            <w:tcW w:w="487" w:type="pct"/>
            <w:vMerge/>
            <w:shd w:val="clear" w:color="auto" w:fill="C00000"/>
          </w:tcPr>
          <w:p w:rsidR="00747F7F" w:rsidRPr="00FD1805" w:rsidRDefault="00747F7F" w:rsidP="00FD1805">
            <w:pPr>
              <w:spacing w:before="120" w:after="120" w:line="240" w:lineRule="auto"/>
              <w:jc w:val="both"/>
              <w:rPr>
                <w:b/>
                <w:bCs/>
                <w:color w:val="FFFFFF"/>
              </w:rPr>
            </w:pPr>
          </w:p>
        </w:tc>
        <w:tc>
          <w:tcPr>
            <w:tcW w:w="501" w:type="pct"/>
            <w:vMerge/>
            <w:shd w:val="clear" w:color="auto" w:fill="auto"/>
          </w:tcPr>
          <w:p w:rsidR="00747F7F" w:rsidRPr="00FD1805" w:rsidRDefault="00747F7F" w:rsidP="00FD1805">
            <w:pPr>
              <w:spacing w:before="120" w:after="120" w:line="240" w:lineRule="auto"/>
              <w:jc w:val="both"/>
            </w:pPr>
          </w:p>
        </w:tc>
        <w:tc>
          <w:tcPr>
            <w:tcW w:w="346" w:type="pct"/>
            <w:shd w:val="clear" w:color="auto" w:fill="auto"/>
          </w:tcPr>
          <w:p w:rsidR="00747F7F" w:rsidRPr="00FD1805" w:rsidRDefault="00C172C1" w:rsidP="00FD1805">
            <w:pPr>
              <w:spacing w:before="120" w:after="120" w:line="240" w:lineRule="auto"/>
              <w:jc w:val="both"/>
            </w:pPr>
            <w:r w:rsidRPr="00FD1805">
              <w:t>4.</w:t>
            </w:r>
          </w:p>
        </w:tc>
        <w:tc>
          <w:tcPr>
            <w:tcW w:w="1908" w:type="pct"/>
            <w:shd w:val="clear" w:color="auto" w:fill="auto"/>
          </w:tcPr>
          <w:p w:rsidR="00747F7F" w:rsidRPr="00FD1805" w:rsidRDefault="00747F7F" w:rsidP="00FD1805">
            <w:pPr>
              <w:spacing w:before="120" w:after="120" w:line="240" w:lineRule="auto"/>
              <w:jc w:val="both"/>
            </w:pPr>
            <w:r w:rsidRPr="00FD1805">
              <w:t>It is recommended that to ensure a consistent approach throughout all municipalities, that a firm stance be taken on paragraph 9 i.e. that the decision tree has too many subjective questions, resulting in an inconsistent decision been made from one municipality to the next.</w:t>
            </w:r>
          </w:p>
        </w:tc>
        <w:tc>
          <w:tcPr>
            <w:tcW w:w="1758" w:type="pct"/>
            <w:shd w:val="clear" w:color="auto" w:fill="auto"/>
          </w:tcPr>
          <w:p w:rsidR="00747F7F" w:rsidRPr="00FD1805" w:rsidRDefault="00747F7F" w:rsidP="00FD1805">
            <w:pPr>
              <w:spacing w:before="120" w:after="120" w:line="240" w:lineRule="auto"/>
              <w:jc w:val="both"/>
            </w:pPr>
            <w:r w:rsidRPr="00FD1805">
              <w:t>This argument has been the subject of discussion with the ASB.  We need to allow management judgement in following the decision tree in finding the appropriate classification.  The Standard of GRAP 109 on Statutory Receivables may result in the reconsideration of the classificatio</w:t>
            </w:r>
            <w:r w:rsidR="00C5561E" w:rsidRPr="00FD1805">
              <w:t>n provided for in Version 5.5 moving forward.  [Pending implementation to be announced by the Minister of Finance</w:t>
            </w:r>
            <w:r w:rsidR="008A6619" w:rsidRPr="00FD1805">
              <w:t>)</w:t>
            </w:r>
            <w:r w:rsidR="00C5561E" w:rsidRPr="00FD1805">
              <w:t>.</w:t>
            </w:r>
          </w:p>
        </w:tc>
      </w:tr>
      <w:tr w:rsidR="00C5561E" w:rsidRPr="00FD1805" w:rsidTr="008B29EC">
        <w:tc>
          <w:tcPr>
            <w:tcW w:w="487" w:type="pct"/>
            <w:shd w:val="clear" w:color="auto" w:fill="C00000"/>
          </w:tcPr>
          <w:p w:rsidR="00C5561E" w:rsidRPr="00FD1805" w:rsidRDefault="00C5561E" w:rsidP="00FD1805">
            <w:pPr>
              <w:spacing w:before="120" w:after="120" w:line="240" w:lineRule="auto"/>
              <w:jc w:val="both"/>
              <w:rPr>
                <w:b/>
                <w:bCs/>
                <w:color w:val="FFFFFF"/>
              </w:rPr>
            </w:pPr>
          </w:p>
        </w:tc>
        <w:tc>
          <w:tcPr>
            <w:tcW w:w="501" w:type="pct"/>
            <w:shd w:val="clear" w:color="auto" w:fill="D8D8D8"/>
          </w:tcPr>
          <w:p w:rsidR="00C5561E" w:rsidRPr="00FD1805" w:rsidRDefault="00C5561E" w:rsidP="00FD1805">
            <w:pPr>
              <w:spacing w:before="120" w:after="120" w:line="240" w:lineRule="auto"/>
              <w:jc w:val="both"/>
            </w:pPr>
          </w:p>
        </w:tc>
        <w:tc>
          <w:tcPr>
            <w:tcW w:w="346" w:type="pct"/>
            <w:shd w:val="clear" w:color="auto" w:fill="D8D8D8"/>
          </w:tcPr>
          <w:p w:rsidR="00C5561E" w:rsidRPr="00FD1805" w:rsidRDefault="00C172C1" w:rsidP="00FD1805">
            <w:pPr>
              <w:spacing w:before="120" w:after="120" w:line="240" w:lineRule="auto"/>
              <w:jc w:val="both"/>
            </w:pPr>
            <w:r w:rsidRPr="00FD1805">
              <w:t>5.</w:t>
            </w:r>
          </w:p>
        </w:tc>
        <w:tc>
          <w:tcPr>
            <w:tcW w:w="1908" w:type="pct"/>
            <w:shd w:val="clear" w:color="auto" w:fill="D8D8D8"/>
          </w:tcPr>
          <w:p w:rsidR="00C5561E" w:rsidRPr="00FD1805" w:rsidRDefault="00C5561E" w:rsidP="00FD1805">
            <w:pPr>
              <w:spacing w:before="120" w:after="120" w:line="240" w:lineRule="auto"/>
              <w:jc w:val="both"/>
            </w:pPr>
            <w:r w:rsidRPr="00FD1805">
              <w:t>Secondly besides the absence of “subscription fees”, version 5.4 caters for “Licences and Permits” both under Exchange and Non-exchange.</w:t>
            </w:r>
          </w:p>
        </w:tc>
        <w:tc>
          <w:tcPr>
            <w:tcW w:w="1758" w:type="pct"/>
            <w:shd w:val="clear" w:color="auto" w:fill="D8D8D8"/>
          </w:tcPr>
          <w:p w:rsidR="00C5561E" w:rsidRPr="00FD1805" w:rsidRDefault="00C5561E" w:rsidP="00FD1805">
            <w:pPr>
              <w:spacing w:before="120" w:after="120" w:line="240" w:lineRule="auto"/>
              <w:jc w:val="both"/>
            </w:pPr>
            <w:r w:rsidRPr="00FD1805">
              <w:t xml:space="preserve">Subscription fees are not relevant to local government unless we receive different opinions.  Licences and Permits are indeed subjected to dual classification within exchange and non-exchange depending on the judgment applied by management in following the decision tree.  Ultimately if a proper compliance function is run by the municipality </w:t>
            </w:r>
            <w:r w:rsidR="003350EA" w:rsidRPr="00FD1805">
              <w:t>besides only the collection of</w:t>
            </w:r>
            <w:r w:rsidRPr="00FD1805">
              <w:t xml:space="preserve"> licence and </w:t>
            </w:r>
            <w:r w:rsidR="003350EA" w:rsidRPr="00FD1805">
              <w:t>permit</w:t>
            </w:r>
            <w:r w:rsidRPr="00FD1805">
              <w:t xml:space="preserve"> fees.</w:t>
            </w:r>
          </w:p>
        </w:tc>
      </w:tr>
      <w:tr w:rsidR="00C5561E" w:rsidRPr="00FD1805" w:rsidTr="008B29EC">
        <w:tc>
          <w:tcPr>
            <w:tcW w:w="487" w:type="pct"/>
            <w:tcBorders>
              <w:bottom w:val="single" w:sz="18" w:space="0" w:color="auto"/>
            </w:tcBorders>
            <w:shd w:val="clear" w:color="auto" w:fill="C00000"/>
          </w:tcPr>
          <w:p w:rsidR="00C5561E" w:rsidRPr="00FD1805" w:rsidRDefault="00C5561E" w:rsidP="00FD1805">
            <w:pPr>
              <w:spacing w:before="120" w:after="120" w:line="240" w:lineRule="auto"/>
              <w:jc w:val="both"/>
              <w:rPr>
                <w:b/>
                <w:bCs/>
                <w:color w:val="FFFFFF"/>
              </w:rPr>
            </w:pPr>
          </w:p>
        </w:tc>
        <w:tc>
          <w:tcPr>
            <w:tcW w:w="501" w:type="pct"/>
            <w:shd w:val="clear" w:color="auto" w:fill="auto"/>
          </w:tcPr>
          <w:p w:rsidR="00C5561E" w:rsidRPr="00FD1805" w:rsidRDefault="00C5561E" w:rsidP="00FD1805">
            <w:pPr>
              <w:spacing w:before="120" w:after="120" w:line="240" w:lineRule="auto"/>
              <w:jc w:val="both"/>
            </w:pPr>
          </w:p>
        </w:tc>
        <w:tc>
          <w:tcPr>
            <w:tcW w:w="346" w:type="pct"/>
            <w:shd w:val="clear" w:color="auto" w:fill="auto"/>
          </w:tcPr>
          <w:p w:rsidR="00C5561E" w:rsidRPr="00FD1805" w:rsidRDefault="00C172C1" w:rsidP="00FD1805">
            <w:pPr>
              <w:spacing w:before="120" w:after="120" w:line="240" w:lineRule="auto"/>
              <w:jc w:val="both"/>
            </w:pPr>
            <w:r w:rsidRPr="00FD1805">
              <w:t>6.</w:t>
            </w:r>
          </w:p>
        </w:tc>
        <w:tc>
          <w:tcPr>
            <w:tcW w:w="1908" w:type="pct"/>
            <w:shd w:val="clear" w:color="auto" w:fill="auto"/>
          </w:tcPr>
          <w:p w:rsidR="00C5561E" w:rsidRPr="00FD1805" w:rsidRDefault="00C5561E" w:rsidP="00FD1805">
            <w:pPr>
              <w:spacing w:before="120" w:after="120" w:line="240" w:lineRule="auto"/>
              <w:jc w:val="both"/>
            </w:pPr>
            <w:r w:rsidRPr="00FD1805">
              <w:t>Thirdly, this municipality does not have an absolutely firm view for either exchange or non-exchange on these items, but would sway towards exchange due to</w:t>
            </w:r>
            <w:r w:rsidR="00F946CC" w:rsidRPr="00FD1805">
              <w:t>,</w:t>
            </w:r>
            <w:r w:rsidRPr="00FD1805">
              <w:t xml:space="preserve"> in most cases additional responsibilities the municipality has in issuing licences and permits.  </w:t>
            </w:r>
          </w:p>
        </w:tc>
        <w:tc>
          <w:tcPr>
            <w:tcW w:w="1758" w:type="pct"/>
            <w:shd w:val="clear" w:color="auto" w:fill="auto"/>
          </w:tcPr>
          <w:p w:rsidR="00C5561E" w:rsidRPr="00FD1805" w:rsidRDefault="00C5561E" w:rsidP="00FD1805">
            <w:pPr>
              <w:spacing w:before="120" w:after="120" w:line="240" w:lineRule="auto"/>
              <w:jc w:val="both"/>
            </w:pPr>
            <w:r w:rsidRPr="00FD1805">
              <w:t>Comment noted.</w:t>
            </w:r>
          </w:p>
        </w:tc>
      </w:tr>
    </w:tbl>
    <w:p w:rsidR="00C73417" w:rsidRPr="00C36AF0" w:rsidRDefault="00C73417" w:rsidP="00FD1805">
      <w:pPr>
        <w:tabs>
          <w:tab w:val="left" w:pos="1950"/>
        </w:tabs>
        <w:jc w:val="both"/>
      </w:pPr>
    </w:p>
    <w:sectPr w:rsidR="00C73417" w:rsidRPr="00C36AF0" w:rsidSect="005C249E">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A6" w:rsidRDefault="00C957A6" w:rsidP="00EE4567">
      <w:pPr>
        <w:spacing w:after="0" w:line="240" w:lineRule="auto"/>
      </w:pPr>
      <w:r>
        <w:separator/>
      </w:r>
    </w:p>
  </w:endnote>
  <w:endnote w:type="continuationSeparator" w:id="0">
    <w:p w:rsidR="00C957A6" w:rsidRDefault="00C957A6" w:rsidP="00EE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BF8F00"/>
      </w:tblBorders>
      <w:tblLayout w:type="fixed"/>
      <w:tblLook w:val="0000" w:firstRow="0" w:lastRow="0" w:firstColumn="0" w:lastColumn="0" w:noHBand="0" w:noVBand="0"/>
    </w:tblPr>
    <w:tblGrid>
      <w:gridCol w:w="7128"/>
      <w:gridCol w:w="2159"/>
    </w:tblGrid>
    <w:tr w:rsidR="008B29EC" w:rsidTr="00046A1A">
      <w:tc>
        <w:tcPr>
          <w:tcW w:w="7128" w:type="dxa"/>
        </w:tcPr>
        <w:p w:rsidR="008B29EC" w:rsidRPr="000733DA" w:rsidRDefault="008B29EC" w:rsidP="008B29EC">
          <w:pPr>
            <w:ind w:right="58"/>
            <w:rPr>
              <w:b/>
              <w:i/>
              <w:sz w:val="18"/>
            </w:rPr>
          </w:pPr>
          <w:r>
            <w:rPr>
              <w:b/>
              <w:i/>
              <w:sz w:val="18"/>
            </w:rPr>
            <w:t>November 2016</w:t>
          </w:r>
        </w:p>
      </w:tc>
      <w:tc>
        <w:tcPr>
          <w:tcW w:w="2159" w:type="dxa"/>
        </w:tcPr>
        <w:p w:rsidR="008B29EC" w:rsidRDefault="008B29EC" w:rsidP="008B29EC">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Pr>
              <w:b/>
              <w:i/>
              <w:noProof/>
              <w:sz w:val="18"/>
            </w:rPr>
            <w:t>4</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Pr>
              <w:b/>
              <w:i/>
              <w:noProof/>
              <w:sz w:val="18"/>
            </w:rPr>
            <w:t>11</w:t>
          </w:r>
          <w:r w:rsidRPr="000733DA">
            <w:rPr>
              <w:b/>
              <w:i/>
              <w:sz w:val="18"/>
            </w:rPr>
            <w:fldChar w:fldCharType="end"/>
          </w:r>
        </w:p>
      </w:tc>
    </w:tr>
  </w:tbl>
  <w:p w:rsidR="00ED0588" w:rsidRDefault="00ED0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BF8F00"/>
      </w:tblBorders>
      <w:tblLayout w:type="fixed"/>
      <w:tblLook w:val="0000" w:firstRow="0" w:lastRow="0" w:firstColumn="0" w:lastColumn="0" w:noHBand="0" w:noVBand="0"/>
    </w:tblPr>
    <w:tblGrid>
      <w:gridCol w:w="10657"/>
      <w:gridCol w:w="3227"/>
    </w:tblGrid>
    <w:tr w:rsidR="008B29EC" w:rsidTr="008B29EC">
      <w:trPr>
        <w:trHeight w:val="286"/>
      </w:trPr>
      <w:tc>
        <w:tcPr>
          <w:tcW w:w="10657" w:type="dxa"/>
        </w:tcPr>
        <w:p w:rsidR="008B29EC" w:rsidRPr="000733DA" w:rsidRDefault="008B29EC" w:rsidP="008B29EC">
          <w:pPr>
            <w:ind w:right="58"/>
            <w:rPr>
              <w:b/>
              <w:i/>
              <w:sz w:val="18"/>
            </w:rPr>
          </w:pPr>
          <w:r>
            <w:rPr>
              <w:b/>
              <w:i/>
              <w:sz w:val="18"/>
            </w:rPr>
            <w:t>November 2016</w:t>
          </w:r>
        </w:p>
      </w:tc>
      <w:tc>
        <w:tcPr>
          <w:tcW w:w="3227" w:type="dxa"/>
        </w:tcPr>
        <w:p w:rsidR="008B29EC" w:rsidRDefault="008B29EC" w:rsidP="008B29EC">
          <w:pPr>
            <w:spacing w:before="60" w:after="60"/>
            <w:ind w:left="57" w:right="57"/>
            <w:jc w:val="right"/>
            <w:rPr>
              <w:b/>
              <w:i/>
              <w:sz w:val="18"/>
            </w:rPr>
          </w:pPr>
          <w:r w:rsidRPr="000733DA">
            <w:rPr>
              <w:b/>
              <w:i/>
              <w:sz w:val="18"/>
            </w:rPr>
            <w:t xml:space="preserve">Page </w:t>
          </w:r>
          <w:r w:rsidRPr="000733DA">
            <w:rPr>
              <w:b/>
              <w:i/>
              <w:sz w:val="18"/>
            </w:rPr>
            <w:fldChar w:fldCharType="begin"/>
          </w:r>
          <w:r w:rsidRPr="000733DA">
            <w:rPr>
              <w:b/>
              <w:i/>
              <w:sz w:val="18"/>
            </w:rPr>
            <w:instrText xml:space="preserve"> PAGE </w:instrText>
          </w:r>
          <w:r w:rsidRPr="000733DA">
            <w:rPr>
              <w:b/>
              <w:i/>
              <w:sz w:val="18"/>
            </w:rPr>
            <w:fldChar w:fldCharType="separate"/>
          </w:r>
          <w:r>
            <w:rPr>
              <w:b/>
              <w:i/>
              <w:noProof/>
              <w:sz w:val="18"/>
            </w:rPr>
            <w:t>11</w:t>
          </w:r>
          <w:r w:rsidRPr="000733DA">
            <w:rPr>
              <w:b/>
              <w:i/>
              <w:sz w:val="18"/>
            </w:rPr>
            <w:fldChar w:fldCharType="end"/>
          </w:r>
          <w:r w:rsidRPr="000733DA">
            <w:rPr>
              <w:b/>
              <w:i/>
              <w:sz w:val="18"/>
            </w:rPr>
            <w:t xml:space="preserve"> of </w:t>
          </w:r>
          <w:r w:rsidRPr="000733DA">
            <w:rPr>
              <w:b/>
              <w:i/>
              <w:sz w:val="18"/>
            </w:rPr>
            <w:fldChar w:fldCharType="begin"/>
          </w:r>
          <w:r w:rsidRPr="000733DA">
            <w:rPr>
              <w:b/>
              <w:i/>
              <w:sz w:val="18"/>
            </w:rPr>
            <w:instrText xml:space="preserve"> NUMPAGES </w:instrText>
          </w:r>
          <w:r w:rsidRPr="000733DA">
            <w:rPr>
              <w:b/>
              <w:i/>
              <w:sz w:val="18"/>
            </w:rPr>
            <w:fldChar w:fldCharType="separate"/>
          </w:r>
          <w:r>
            <w:rPr>
              <w:b/>
              <w:i/>
              <w:noProof/>
              <w:sz w:val="18"/>
            </w:rPr>
            <w:t>11</w:t>
          </w:r>
          <w:r w:rsidRPr="000733DA">
            <w:rPr>
              <w:b/>
              <w:i/>
              <w:sz w:val="18"/>
            </w:rPr>
            <w:fldChar w:fldCharType="end"/>
          </w:r>
        </w:p>
      </w:tc>
    </w:tr>
  </w:tbl>
  <w:p w:rsidR="008B29EC" w:rsidRDefault="008B2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A6" w:rsidRDefault="00C957A6" w:rsidP="00EE4567">
      <w:pPr>
        <w:spacing w:after="0" w:line="240" w:lineRule="auto"/>
      </w:pPr>
      <w:r>
        <w:separator/>
      </w:r>
    </w:p>
  </w:footnote>
  <w:footnote w:type="continuationSeparator" w:id="0">
    <w:p w:rsidR="00C957A6" w:rsidRDefault="00C957A6" w:rsidP="00EE4567">
      <w:pPr>
        <w:spacing w:after="0" w:line="240" w:lineRule="auto"/>
      </w:pPr>
      <w:r>
        <w:continuationSeparator/>
      </w:r>
    </w:p>
  </w:footnote>
  <w:footnote w:id="1">
    <w:p w:rsidR="0031210D" w:rsidRDefault="0031210D" w:rsidP="0031210D">
      <w:pPr>
        <w:pStyle w:val="FootnoteText"/>
      </w:pPr>
      <w:r>
        <w:rPr>
          <w:rStyle w:val="FootnoteReference"/>
        </w:rPr>
        <w:footnoteRef/>
      </w:r>
      <w:r>
        <w:t xml:space="preserve"> The Minister of Finance has not yet determined the effective date for the Standard of GRAP on Statutory Receivables (GRAP 108).  Entities may consider GRAP 108 in developing an accounting policy for principle-agent arrangements.</w:t>
      </w:r>
    </w:p>
    <w:p w:rsidR="0031210D" w:rsidRDefault="0031210D">
      <w:pPr>
        <w:pStyle w:val="FootnoteText"/>
      </w:pPr>
    </w:p>
  </w:footnote>
  <w:footnote w:id="2">
    <w:p w:rsidR="0031210D" w:rsidRDefault="0031210D">
      <w:pPr>
        <w:pStyle w:val="FootnoteText"/>
      </w:pPr>
      <w:r>
        <w:rPr>
          <w:rStyle w:val="FootnoteReference"/>
        </w:rPr>
        <w:footnoteRef/>
      </w:r>
      <w:r>
        <w:t xml:space="preserve"> The Minister of Finance has not yet determined the effective date for the Standard of GRAP on Accounting by Principles and Agents (GRAP 109).  Entities may consider GRAP 109 in developing an accounting policy for principle-agent arrangements.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9EC" w:rsidRDefault="008B29EC" w:rsidP="008B29EC">
    <w:pPr>
      <w:pBdr>
        <w:bottom w:val="single" w:sz="18" w:space="1" w:color="BF8F00"/>
      </w:pBdr>
      <w:tabs>
        <w:tab w:val="left" w:pos="1500"/>
        <w:tab w:val="center" w:pos="4484"/>
      </w:tabs>
      <w:spacing w:before="60" w:after="60"/>
      <w:ind w:right="57"/>
      <w:rPr>
        <w:b/>
        <w:i/>
        <w:sz w:val="18"/>
      </w:rPr>
    </w:pPr>
    <w:r>
      <w:rPr>
        <w:b/>
        <w:i/>
        <w:sz w:val="18"/>
      </w:rPr>
      <w:tab/>
    </w:r>
    <w:r>
      <w:rPr>
        <w:b/>
        <w:i/>
        <w:sz w:val="18"/>
      </w:rPr>
      <w:tab/>
    </w:r>
    <w:proofErr w:type="spellStart"/>
    <w:proofErr w:type="gramStart"/>
    <w:r>
      <w:rPr>
        <w:b/>
        <w:i/>
        <w:sz w:val="18"/>
      </w:rPr>
      <w:t>mSCOA</w:t>
    </w:r>
    <w:proofErr w:type="spellEnd"/>
    <w:proofErr w:type="gramEnd"/>
    <w:r>
      <w:rPr>
        <w:b/>
        <w:i/>
        <w:sz w:val="18"/>
      </w:rPr>
      <w:t xml:space="preserve"> Draft Position Paper: </w:t>
    </w:r>
    <w:r>
      <w:rPr>
        <w:b/>
        <w:i/>
        <w:sz w:val="18"/>
      </w:rPr>
      <w:t>Exchange and non-exchange transactions</w:t>
    </w:r>
  </w:p>
  <w:p w:rsidR="00FD1805" w:rsidRPr="008B29EC" w:rsidRDefault="00FD1805" w:rsidP="008B2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2021"/>
      <w:gridCol w:w="7005"/>
    </w:tblGrid>
    <w:tr w:rsidR="008B29EC" w:rsidTr="00046A1A">
      <w:trPr>
        <w:cantSplit/>
      </w:trPr>
      <w:tc>
        <w:tcPr>
          <w:tcW w:w="2088" w:type="dxa"/>
          <w:vMerge w:val="restart"/>
        </w:tcPr>
        <w:p w:rsidR="008B29EC" w:rsidRDefault="008B29EC" w:rsidP="008B29EC">
          <w:pPr>
            <w:pStyle w:val="Header"/>
          </w:pPr>
          <w:r>
            <w:rPr>
              <w:noProof/>
            </w:rPr>
            <w:drawing>
              <wp:anchor distT="0" distB="0" distL="114300" distR="114300" simplePos="0" relativeHeight="251659264" behindDoc="0" locked="0" layoutInCell="1" allowOverlap="1" wp14:anchorId="32858784" wp14:editId="47ACB303">
                <wp:simplePos x="0" y="0"/>
                <wp:positionH relativeFrom="column">
                  <wp:posOffset>0</wp:posOffset>
                </wp:positionH>
                <wp:positionV relativeFrom="page">
                  <wp:posOffset>-103505</wp:posOffset>
                </wp:positionV>
                <wp:extent cx="1192530" cy="13322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tcPr>
        <w:p w:rsidR="008B29EC" w:rsidRDefault="008B29EC" w:rsidP="008B29EC">
          <w:pPr>
            <w:pStyle w:val="Header"/>
          </w:pPr>
        </w:p>
      </w:tc>
    </w:tr>
    <w:tr w:rsidR="008B29EC" w:rsidTr="00046A1A">
      <w:trPr>
        <w:cantSplit/>
      </w:trPr>
      <w:tc>
        <w:tcPr>
          <w:tcW w:w="2088" w:type="dxa"/>
          <w:vMerge/>
        </w:tcPr>
        <w:p w:rsidR="008B29EC" w:rsidRDefault="008B29EC" w:rsidP="008B29EC">
          <w:pPr>
            <w:pStyle w:val="Header"/>
          </w:pPr>
        </w:p>
      </w:tc>
      <w:tc>
        <w:tcPr>
          <w:tcW w:w="7199" w:type="dxa"/>
          <w:tcBorders>
            <w:bottom w:val="threeDEmboss" w:sz="12" w:space="0" w:color="FFFFFF"/>
          </w:tcBorders>
          <w:shd w:val="clear" w:color="auto" w:fill="996600"/>
        </w:tcPr>
        <w:p w:rsidR="008B29EC" w:rsidRDefault="008B29EC" w:rsidP="008B29EC">
          <w:pPr>
            <w:pStyle w:val="Heading3"/>
            <w:spacing w:before="60" w:after="60"/>
            <w:ind w:right="57"/>
            <w:rPr>
              <w:smallCaps/>
              <w:color w:val="FFFFFF"/>
              <w:spacing w:val="40"/>
            </w:rPr>
          </w:pPr>
          <w:r>
            <w:rPr>
              <w:smallCaps/>
              <w:color w:val="FFFFFF"/>
              <w:spacing w:val="40"/>
            </w:rPr>
            <w:t>National Treasury</w:t>
          </w:r>
        </w:p>
      </w:tc>
    </w:tr>
    <w:tr w:rsidR="008B29EC" w:rsidRPr="00C10227" w:rsidTr="00046A1A">
      <w:trPr>
        <w:cantSplit/>
      </w:trPr>
      <w:tc>
        <w:tcPr>
          <w:tcW w:w="2088" w:type="dxa"/>
          <w:vMerge/>
        </w:tcPr>
        <w:p w:rsidR="008B29EC" w:rsidRDefault="008B29EC" w:rsidP="008B29EC">
          <w:pPr>
            <w:pStyle w:val="Header"/>
          </w:pPr>
        </w:p>
      </w:tc>
      <w:tc>
        <w:tcPr>
          <w:tcW w:w="7199" w:type="dxa"/>
          <w:tcBorders>
            <w:top w:val="threeDEmboss" w:sz="12" w:space="0" w:color="FFFFFF"/>
          </w:tcBorders>
          <w:shd w:val="clear" w:color="auto" w:fill="CC9900"/>
          <w:vAlign w:val="center"/>
        </w:tcPr>
        <w:p w:rsidR="008B29EC" w:rsidRPr="00D80CED" w:rsidRDefault="008B29EC" w:rsidP="008B29EC">
          <w:pPr>
            <w:spacing w:before="60"/>
            <w:ind w:left="58" w:right="58"/>
            <w:rPr>
              <w:b/>
              <w:bCs/>
              <w:sz w:val="28"/>
            </w:rPr>
          </w:pPr>
          <w:proofErr w:type="spellStart"/>
          <w:r w:rsidRPr="00D80CED">
            <w:rPr>
              <w:b/>
              <w:bCs/>
              <w:sz w:val="28"/>
            </w:rPr>
            <w:t>mSCOA</w:t>
          </w:r>
          <w:proofErr w:type="spellEnd"/>
          <w:r w:rsidRPr="00D80CED">
            <w:rPr>
              <w:b/>
              <w:bCs/>
              <w:sz w:val="28"/>
            </w:rPr>
            <w:t xml:space="preserve"> </w:t>
          </w:r>
          <w:r>
            <w:rPr>
              <w:b/>
              <w:bCs/>
              <w:sz w:val="28"/>
            </w:rPr>
            <w:t xml:space="preserve">Draft </w:t>
          </w:r>
          <w:r w:rsidRPr="00D80CED">
            <w:rPr>
              <w:b/>
              <w:bCs/>
              <w:sz w:val="28"/>
            </w:rPr>
            <w:t xml:space="preserve">Position Paper: </w:t>
          </w:r>
          <w:r>
            <w:rPr>
              <w:b/>
              <w:bCs/>
              <w:sz w:val="28"/>
            </w:rPr>
            <w:t>Exchange and non-exchange transactions</w:t>
          </w:r>
        </w:p>
      </w:tc>
    </w:tr>
    <w:tr w:rsidR="008B29EC" w:rsidTr="00046A1A">
      <w:trPr>
        <w:cantSplit/>
      </w:trPr>
      <w:tc>
        <w:tcPr>
          <w:tcW w:w="2088" w:type="dxa"/>
          <w:vMerge/>
        </w:tcPr>
        <w:p w:rsidR="008B29EC" w:rsidRDefault="008B29EC" w:rsidP="008B29EC">
          <w:pPr>
            <w:pStyle w:val="Header"/>
          </w:pPr>
        </w:p>
      </w:tc>
      <w:tc>
        <w:tcPr>
          <w:tcW w:w="7199" w:type="dxa"/>
        </w:tcPr>
        <w:p w:rsidR="008B29EC" w:rsidRDefault="008B29EC" w:rsidP="008B29EC">
          <w:pPr>
            <w:pStyle w:val="Heading1"/>
          </w:pPr>
        </w:p>
      </w:tc>
    </w:tr>
  </w:tbl>
  <w:p w:rsidR="00FD1805" w:rsidRDefault="00FD1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743C"/>
    <w:multiLevelType w:val="hybridMultilevel"/>
    <w:tmpl w:val="F7BEFB1C"/>
    <w:lvl w:ilvl="0" w:tplc="1C090001">
      <w:start w:val="1"/>
      <w:numFmt w:val="bullet"/>
      <w:lvlText w:val=""/>
      <w:lvlJc w:val="left"/>
      <w:pPr>
        <w:ind w:left="5889" w:hanging="360"/>
      </w:pPr>
      <w:rPr>
        <w:rFonts w:ascii="Symbol" w:hAnsi="Symbol" w:hint="default"/>
      </w:rPr>
    </w:lvl>
    <w:lvl w:ilvl="1" w:tplc="1C090003">
      <w:start w:val="1"/>
      <w:numFmt w:val="bullet"/>
      <w:lvlText w:val="o"/>
      <w:lvlJc w:val="left"/>
      <w:pPr>
        <w:ind w:left="6609" w:hanging="360"/>
      </w:pPr>
      <w:rPr>
        <w:rFonts w:ascii="Courier New" w:hAnsi="Courier New" w:cs="Courier New" w:hint="default"/>
      </w:rPr>
    </w:lvl>
    <w:lvl w:ilvl="2" w:tplc="1C090005" w:tentative="1">
      <w:start w:val="1"/>
      <w:numFmt w:val="bullet"/>
      <w:lvlText w:val=""/>
      <w:lvlJc w:val="left"/>
      <w:pPr>
        <w:ind w:left="7329" w:hanging="360"/>
      </w:pPr>
      <w:rPr>
        <w:rFonts w:ascii="Wingdings" w:hAnsi="Wingdings" w:hint="default"/>
      </w:rPr>
    </w:lvl>
    <w:lvl w:ilvl="3" w:tplc="1C090001" w:tentative="1">
      <w:start w:val="1"/>
      <w:numFmt w:val="bullet"/>
      <w:lvlText w:val=""/>
      <w:lvlJc w:val="left"/>
      <w:pPr>
        <w:ind w:left="8049" w:hanging="360"/>
      </w:pPr>
      <w:rPr>
        <w:rFonts w:ascii="Symbol" w:hAnsi="Symbol" w:hint="default"/>
      </w:rPr>
    </w:lvl>
    <w:lvl w:ilvl="4" w:tplc="1C090003" w:tentative="1">
      <w:start w:val="1"/>
      <w:numFmt w:val="bullet"/>
      <w:lvlText w:val="o"/>
      <w:lvlJc w:val="left"/>
      <w:pPr>
        <w:ind w:left="8769" w:hanging="360"/>
      </w:pPr>
      <w:rPr>
        <w:rFonts w:ascii="Courier New" w:hAnsi="Courier New" w:cs="Courier New" w:hint="default"/>
      </w:rPr>
    </w:lvl>
    <w:lvl w:ilvl="5" w:tplc="1C090005" w:tentative="1">
      <w:start w:val="1"/>
      <w:numFmt w:val="bullet"/>
      <w:lvlText w:val=""/>
      <w:lvlJc w:val="left"/>
      <w:pPr>
        <w:ind w:left="9489" w:hanging="360"/>
      </w:pPr>
      <w:rPr>
        <w:rFonts w:ascii="Wingdings" w:hAnsi="Wingdings" w:hint="default"/>
      </w:rPr>
    </w:lvl>
    <w:lvl w:ilvl="6" w:tplc="1C090001" w:tentative="1">
      <w:start w:val="1"/>
      <w:numFmt w:val="bullet"/>
      <w:lvlText w:val=""/>
      <w:lvlJc w:val="left"/>
      <w:pPr>
        <w:ind w:left="10209" w:hanging="360"/>
      </w:pPr>
      <w:rPr>
        <w:rFonts w:ascii="Symbol" w:hAnsi="Symbol" w:hint="default"/>
      </w:rPr>
    </w:lvl>
    <w:lvl w:ilvl="7" w:tplc="1C090003" w:tentative="1">
      <w:start w:val="1"/>
      <w:numFmt w:val="bullet"/>
      <w:lvlText w:val="o"/>
      <w:lvlJc w:val="left"/>
      <w:pPr>
        <w:ind w:left="10929" w:hanging="360"/>
      </w:pPr>
      <w:rPr>
        <w:rFonts w:ascii="Courier New" w:hAnsi="Courier New" w:cs="Courier New" w:hint="default"/>
      </w:rPr>
    </w:lvl>
    <w:lvl w:ilvl="8" w:tplc="1C090005" w:tentative="1">
      <w:start w:val="1"/>
      <w:numFmt w:val="bullet"/>
      <w:lvlText w:val=""/>
      <w:lvlJc w:val="left"/>
      <w:pPr>
        <w:ind w:left="11649" w:hanging="360"/>
      </w:pPr>
      <w:rPr>
        <w:rFonts w:ascii="Wingdings" w:hAnsi="Wingdings" w:hint="default"/>
      </w:rPr>
    </w:lvl>
  </w:abstractNum>
  <w:abstractNum w:abstractNumId="1" w15:restartNumberingAfterBreak="0">
    <w:nsid w:val="0D5E0CBA"/>
    <w:multiLevelType w:val="hybridMultilevel"/>
    <w:tmpl w:val="AF72426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43B518A"/>
    <w:multiLevelType w:val="hybridMultilevel"/>
    <w:tmpl w:val="CFE65DB8"/>
    <w:lvl w:ilvl="0" w:tplc="FFFFFFFF">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183D1B71"/>
    <w:multiLevelType w:val="hybridMultilevel"/>
    <w:tmpl w:val="07189A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852C82"/>
    <w:multiLevelType w:val="hybridMultilevel"/>
    <w:tmpl w:val="71042BBC"/>
    <w:lvl w:ilvl="0" w:tplc="1C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15:restartNumberingAfterBreak="0">
    <w:nsid w:val="1E79342D"/>
    <w:multiLevelType w:val="hybridMultilevel"/>
    <w:tmpl w:val="E10E9746"/>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6" w15:restartNumberingAfterBreak="0">
    <w:nsid w:val="1EF837FC"/>
    <w:multiLevelType w:val="hybridMultilevel"/>
    <w:tmpl w:val="E390B890"/>
    <w:lvl w:ilvl="0" w:tplc="1C090001">
      <w:start w:val="1"/>
      <w:numFmt w:val="bullet"/>
      <w:lvlText w:val=""/>
      <w:lvlJc w:val="left"/>
      <w:pPr>
        <w:ind w:left="786" w:hanging="360"/>
      </w:pPr>
      <w:rPr>
        <w:rFonts w:ascii="Symbol" w:hAnsi="Symbo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4841C65"/>
    <w:multiLevelType w:val="hybridMultilevel"/>
    <w:tmpl w:val="14CADF7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6D902E4"/>
    <w:multiLevelType w:val="hybridMultilevel"/>
    <w:tmpl w:val="4456008A"/>
    <w:lvl w:ilvl="0" w:tplc="FFFFFFFF">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9" w15:restartNumberingAfterBreak="0">
    <w:nsid w:val="356D42E8"/>
    <w:multiLevelType w:val="hybridMultilevel"/>
    <w:tmpl w:val="19D09ABA"/>
    <w:lvl w:ilvl="0" w:tplc="E210FC5A">
      <w:start w:val="1"/>
      <w:numFmt w:val="decimal"/>
      <w:lvlText w:val="%1."/>
      <w:lvlJc w:val="left"/>
      <w:pPr>
        <w:ind w:left="1212" w:hanging="360"/>
      </w:pPr>
    </w:lvl>
    <w:lvl w:ilvl="1" w:tplc="1C09000B">
      <w:start w:val="1"/>
      <w:numFmt w:val="bullet"/>
      <w:lvlText w:val=""/>
      <w:lvlJc w:val="left"/>
      <w:pPr>
        <w:ind w:left="1080" w:hanging="360"/>
      </w:pPr>
      <w:rPr>
        <w:rFonts w:ascii="Wingdings" w:hAnsi="Wingdings" w:hint="default"/>
      </w:r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6CA2C4E"/>
    <w:multiLevelType w:val="hybridMultilevel"/>
    <w:tmpl w:val="F28EE4B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15:restartNumberingAfterBreak="0">
    <w:nsid w:val="3BF57836"/>
    <w:multiLevelType w:val="hybridMultilevel"/>
    <w:tmpl w:val="C974E1D2"/>
    <w:lvl w:ilvl="0" w:tplc="B360F2F2">
      <w:start w:val="1"/>
      <w:numFmt w:val="bullet"/>
      <w:pStyle w:val="StepBulletSmall"/>
      <w:lvlText w:val=""/>
      <w:lvlJc w:val="left"/>
      <w:pPr>
        <w:ind w:left="1211" w:hanging="360"/>
      </w:pPr>
      <w:rPr>
        <w:rFonts w:ascii="Wingdings" w:hAnsi="Wingdings"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2" w15:restartNumberingAfterBreak="0">
    <w:nsid w:val="3EAD3C68"/>
    <w:multiLevelType w:val="hybridMultilevel"/>
    <w:tmpl w:val="3E26BA62"/>
    <w:lvl w:ilvl="0" w:tplc="FFFFFFFF">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3" w15:restartNumberingAfterBreak="0">
    <w:nsid w:val="456E53DC"/>
    <w:multiLevelType w:val="hybridMultilevel"/>
    <w:tmpl w:val="F620D9EE"/>
    <w:lvl w:ilvl="0" w:tplc="22F8EAC4">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0A9196C"/>
    <w:multiLevelType w:val="hybridMultilevel"/>
    <w:tmpl w:val="D91E004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75C24B7"/>
    <w:multiLevelType w:val="hybridMultilevel"/>
    <w:tmpl w:val="5E426748"/>
    <w:lvl w:ilvl="0" w:tplc="8C9491DA">
      <w:start w:val="1"/>
      <w:numFmt w:val="decimal"/>
      <w:pStyle w:val="ListParagraph"/>
      <w:lvlText w:val="%1."/>
      <w:lvlJc w:val="left"/>
      <w:pPr>
        <w:ind w:left="360" w:hanging="360"/>
      </w:pPr>
    </w:lvl>
    <w:lvl w:ilvl="1" w:tplc="7DEC32C4">
      <w:start w:val="1"/>
      <w:numFmt w:val="bullet"/>
      <w:pStyle w:val="BulletParagraph"/>
      <w:lvlText w:val=""/>
      <w:lvlJc w:val="left"/>
      <w:pPr>
        <w:ind w:left="228" w:hanging="360"/>
      </w:pPr>
      <w:rPr>
        <w:rFonts w:ascii="Symbol" w:hAnsi="Symbol" w:hint="default"/>
      </w:rPr>
    </w:lvl>
    <w:lvl w:ilvl="2" w:tplc="FB5C984E">
      <w:start w:val="1"/>
      <w:numFmt w:val="bullet"/>
      <w:lvlText w:val=""/>
      <w:lvlJc w:val="left"/>
      <w:pPr>
        <w:ind w:left="180" w:hanging="180"/>
      </w:pPr>
      <w:rPr>
        <w:rFonts w:ascii="Wingdings" w:hAnsi="Wingdings" w:hint="default"/>
      </w:rPr>
    </w:lvl>
    <w:lvl w:ilvl="3" w:tplc="FFFFFFFF">
      <w:start w:val="1"/>
      <w:numFmt w:val="bullet"/>
      <w:lvlText w:val=""/>
      <w:lvlJc w:val="left"/>
      <w:pPr>
        <w:ind w:left="1668" w:hanging="360"/>
      </w:pPr>
      <w:rPr>
        <w:rFonts w:ascii="Symbol" w:hAnsi="Symbol" w:hint="default"/>
      </w:rPr>
    </w:lvl>
    <w:lvl w:ilvl="4" w:tplc="FFFFFFFF">
      <w:start w:val="1"/>
      <w:numFmt w:val="bullet"/>
      <w:lvlText w:val="o"/>
      <w:lvlJc w:val="left"/>
      <w:pPr>
        <w:ind w:left="2388" w:hanging="360"/>
      </w:pPr>
      <w:rPr>
        <w:rFonts w:ascii="Courier New" w:hAnsi="Courier New" w:hint="default"/>
      </w:rPr>
    </w:lvl>
    <w:lvl w:ilvl="5" w:tplc="1C09001B">
      <w:start w:val="1"/>
      <w:numFmt w:val="lowerRoman"/>
      <w:lvlText w:val="%6."/>
      <w:lvlJc w:val="right"/>
      <w:pPr>
        <w:ind w:left="3108" w:hanging="180"/>
      </w:pPr>
    </w:lvl>
    <w:lvl w:ilvl="6" w:tplc="1C09000F" w:tentative="1">
      <w:start w:val="1"/>
      <w:numFmt w:val="decimal"/>
      <w:lvlText w:val="%7."/>
      <w:lvlJc w:val="left"/>
      <w:pPr>
        <w:ind w:left="3828" w:hanging="360"/>
      </w:pPr>
    </w:lvl>
    <w:lvl w:ilvl="7" w:tplc="1C090019" w:tentative="1">
      <w:start w:val="1"/>
      <w:numFmt w:val="lowerLetter"/>
      <w:lvlText w:val="%8."/>
      <w:lvlJc w:val="left"/>
      <w:pPr>
        <w:ind w:left="4548" w:hanging="360"/>
      </w:pPr>
    </w:lvl>
    <w:lvl w:ilvl="8" w:tplc="1C09001B" w:tentative="1">
      <w:start w:val="1"/>
      <w:numFmt w:val="lowerRoman"/>
      <w:lvlText w:val="%9."/>
      <w:lvlJc w:val="right"/>
      <w:pPr>
        <w:ind w:left="5268" w:hanging="180"/>
      </w:pPr>
    </w:lvl>
  </w:abstractNum>
  <w:abstractNum w:abstractNumId="16" w15:restartNumberingAfterBreak="0">
    <w:nsid w:val="5EAC3B59"/>
    <w:multiLevelType w:val="hybridMultilevel"/>
    <w:tmpl w:val="203E3C7C"/>
    <w:lvl w:ilvl="0" w:tplc="FFFFFFFF">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7" w15:restartNumberingAfterBreak="0">
    <w:nsid w:val="63C423A7"/>
    <w:multiLevelType w:val="hybridMultilevel"/>
    <w:tmpl w:val="F2C073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5BF10C7"/>
    <w:multiLevelType w:val="hybridMultilevel"/>
    <w:tmpl w:val="C73A8E08"/>
    <w:lvl w:ilvl="0" w:tplc="445601A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6ED65F21"/>
    <w:multiLevelType w:val="hybridMultilevel"/>
    <w:tmpl w:val="66FC44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24521E1"/>
    <w:multiLevelType w:val="hybridMultilevel"/>
    <w:tmpl w:val="CF9C4330"/>
    <w:lvl w:ilvl="0" w:tplc="1C09000F">
      <w:start w:val="1"/>
      <w:numFmt w:val="decimal"/>
      <w:lvlText w:val="%1."/>
      <w:lvlJc w:val="left"/>
      <w:pPr>
        <w:ind w:left="360" w:hanging="360"/>
      </w:pPr>
    </w:lvl>
    <w:lvl w:ilvl="1" w:tplc="1C090019">
      <w:start w:val="1"/>
      <w:numFmt w:val="lowerLetter"/>
      <w:lvlText w:val="%2."/>
      <w:lvlJc w:val="left"/>
      <w:pPr>
        <w:ind w:left="228" w:hanging="360"/>
      </w:pPr>
    </w:lvl>
    <w:lvl w:ilvl="2" w:tplc="FB5C984E">
      <w:start w:val="1"/>
      <w:numFmt w:val="bullet"/>
      <w:lvlText w:val=""/>
      <w:lvlJc w:val="left"/>
      <w:pPr>
        <w:ind w:left="180" w:hanging="180"/>
      </w:pPr>
      <w:rPr>
        <w:rFonts w:ascii="Wingdings" w:hAnsi="Wingdings" w:hint="default"/>
      </w:rPr>
    </w:lvl>
    <w:lvl w:ilvl="3" w:tplc="1C09000F">
      <w:start w:val="1"/>
      <w:numFmt w:val="decimal"/>
      <w:lvlText w:val="%4."/>
      <w:lvlJc w:val="left"/>
      <w:pPr>
        <w:ind w:left="1668" w:hanging="360"/>
      </w:pPr>
    </w:lvl>
    <w:lvl w:ilvl="4" w:tplc="1C090019" w:tentative="1">
      <w:start w:val="1"/>
      <w:numFmt w:val="lowerLetter"/>
      <w:lvlText w:val="%5."/>
      <w:lvlJc w:val="left"/>
      <w:pPr>
        <w:ind w:left="2388" w:hanging="360"/>
      </w:pPr>
    </w:lvl>
    <w:lvl w:ilvl="5" w:tplc="1C09001B" w:tentative="1">
      <w:start w:val="1"/>
      <w:numFmt w:val="lowerRoman"/>
      <w:lvlText w:val="%6."/>
      <w:lvlJc w:val="right"/>
      <w:pPr>
        <w:ind w:left="3108" w:hanging="180"/>
      </w:pPr>
    </w:lvl>
    <w:lvl w:ilvl="6" w:tplc="1C09000F" w:tentative="1">
      <w:start w:val="1"/>
      <w:numFmt w:val="decimal"/>
      <w:lvlText w:val="%7."/>
      <w:lvlJc w:val="left"/>
      <w:pPr>
        <w:ind w:left="3828" w:hanging="360"/>
      </w:pPr>
    </w:lvl>
    <w:lvl w:ilvl="7" w:tplc="1C090019" w:tentative="1">
      <w:start w:val="1"/>
      <w:numFmt w:val="lowerLetter"/>
      <w:lvlText w:val="%8."/>
      <w:lvlJc w:val="left"/>
      <w:pPr>
        <w:ind w:left="4548" w:hanging="360"/>
      </w:pPr>
    </w:lvl>
    <w:lvl w:ilvl="8" w:tplc="1C09001B" w:tentative="1">
      <w:start w:val="1"/>
      <w:numFmt w:val="lowerRoman"/>
      <w:lvlText w:val="%9."/>
      <w:lvlJc w:val="right"/>
      <w:pPr>
        <w:ind w:left="5268" w:hanging="180"/>
      </w:pPr>
    </w:lvl>
  </w:abstractNum>
  <w:abstractNum w:abstractNumId="21" w15:restartNumberingAfterBreak="0">
    <w:nsid w:val="730B474F"/>
    <w:multiLevelType w:val="hybridMultilevel"/>
    <w:tmpl w:val="AE7E94FA"/>
    <w:lvl w:ilvl="0" w:tplc="FFFFFFFF">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2" w15:restartNumberingAfterBreak="0">
    <w:nsid w:val="783A083F"/>
    <w:multiLevelType w:val="hybridMultilevel"/>
    <w:tmpl w:val="FA2888D4"/>
    <w:lvl w:ilvl="0" w:tplc="1C09000B">
      <w:start w:val="1"/>
      <w:numFmt w:val="bullet"/>
      <w:lvlText w:val=""/>
      <w:lvlJc w:val="left"/>
      <w:pPr>
        <w:ind w:left="786" w:hanging="360"/>
      </w:pPr>
      <w:rPr>
        <w:rFonts w:ascii="Wingdings" w:hAnsi="Wingding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5"/>
  </w:num>
  <w:num w:numId="2">
    <w:abstractNumId w:val="10"/>
  </w:num>
  <w:num w:numId="3">
    <w:abstractNumId w:val="15"/>
  </w:num>
  <w:num w:numId="4">
    <w:abstractNumId w:val="15"/>
  </w:num>
  <w:num w:numId="5">
    <w:abstractNumId w:val="15"/>
  </w:num>
  <w:num w:numId="6">
    <w:abstractNumId w:val="15"/>
  </w:num>
  <w:num w:numId="7">
    <w:abstractNumId w:val="6"/>
  </w:num>
  <w:num w:numId="8">
    <w:abstractNumId w:val="22"/>
  </w:num>
  <w:num w:numId="9">
    <w:abstractNumId w:val="4"/>
  </w:num>
  <w:num w:numId="10">
    <w:abstractNumId w:val="1"/>
  </w:num>
  <w:num w:numId="11">
    <w:abstractNumId w:val="19"/>
  </w:num>
  <w:num w:numId="12">
    <w:abstractNumId w:val="9"/>
  </w:num>
  <w:num w:numId="13">
    <w:abstractNumId w:val="15"/>
  </w:num>
  <w:num w:numId="14">
    <w:abstractNumId w:val="15"/>
  </w:num>
  <w:num w:numId="15">
    <w:abstractNumId w:val="15"/>
  </w:num>
  <w:num w:numId="16">
    <w:abstractNumId w:val="15"/>
  </w:num>
  <w:num w:numId="17">
    <w:abstractNumId w:val="15"/>
  </w:num>
  <w:num w:numId="18">
    <w:abstractNumId w:val="15"/>
    <w:lvlOverride w:ilvl="0">
      <w:startOverride w:val="1"/>
    </w:lvlOverride>
  </w:num>
  <w:num w:numId="19">
    <w:abstractNumId w:val="15"/>
    <w:lvlOverride w:ilvl="0">
      <w:startOverride w:val="1"/>
    </w:lvlOverride>
  </w:num>
  <w:num w:numId="20">
    <w:abstractNumId w:val="13"/>
  </w:num>
  <w:num w:numId="21">
    <w:abstractNumId w:val="15"/>
  </w:num>
  <w:num w:numId="22">
    <w:abstractNumId w:val="15"/>
  </w:num>
  <w:num w:numId="23">
    <w:abstractNumId w:val="20"/>
  </w:num>
  <w:num w:numId="24">
    <w:abstractNumId w:val="17"/>
  </w:num>
  <w:num w:numId="25">
    <w:abstractNumId w:val="3"/>
  </w:num>
  <w:num w:numId="26">
    <w:abstractNumId w:val="15"/>
  </w:num>
  <w:num w:numId="27">
    <w:abstractNumId w:val="7"/>
  </w:num>
  <w:num w:numId="28">
    <w:abstractNumId w:val="15"/>
  </w:num>
  <w:num w:numId="29">
    <w:abstractNumId w:val="15"/>
  </w:num>
  <w:num w:numId="30">
    <w:abstractNumId w:val="18"/>
  </w:num>
  <w:num w:numId="31">
    <w:abstractNumId w:val="15"/>
  </w:num>
  <w:num w:numId="32">
    <w:abstractNumId w:val="0"/>
  </w:num>
  <w:num w:numId="33">
    <w:abstractNumId w:val="5"/>
  </w:num>
  <w:num w:numId="34">
    <w:abstractNumId w:val="8"/>
  </w:num>
  <w:num w:numId="35">
    <w:abstractNumId w:val="21"/>
  </w:num>
  <w:num w:numId="36">
    <w:abstractNumId w:val="15"/>
  </w:num>
  <w:num w:numId="37">
    <w:abstractNumId w:val="16"/>
  </w:num>
  <w:num w:numId="38">
    <w:abstractNumId w:val="15"/>
  </w:num>
  <w:num w:numId="39">
    <w:abstractNumId w:val="12"/>
  </w:num>
  <w:num w:numId="40">
    <w:abstractNumId w:val="2"/>
  </w:num>
  <w:num w:numId="41">
    <w:abstractNumId w:val="11"/>
  </w:num>
  <w:num w:numId="42">
    <w:abstractNumId w:val="15"/>
  </w:num>
  <w:num w:numId="43">
    <w:abstractNumId w:val="15"/>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01"/>
    <w:rsid w:val="00001F9F"/>
    <w:rsid w:val="000044AB"/>
    <w:rsid w:val="00005995"/>
    <w:rsid w:val="00015E60"/>
    <w:rsid w:val="0002161F"/>
    <w:rsid w:val="00046CD2"/>
    <w:rsid w:val="00047404"/>
    <w:rsid w:val="00074900"/>
    <w:rsid w:val="00076BC4"/>
    <w:rsid w:val="00081E6F"/>
    <w:rsid w:val="000A16BE"/>
    <w:rsid w:val="000A7643"/>
    <w:rsid w:val="000B1D88"/>
    <w:rsid w:val="000B22EE"/>
    <w:rsid w:val="000B39C6"/>
    <w:rsid w:val="000B773B"/>
    <w:rsid w:val="000C0147"/>
    <w:rsid w:val="000C3D7F"/>
    <w:rsid w:val="000E2DB5"/>
    <w:rsid w:val="000E7C28"/>
    <w:rsid w:val="000F1C18"/>
    <w:rsid w:val="000F23A4"/>
    <w:rsid w:val="000F45C6"/>
    <w:rsid w:val="001152A6"/>
    <w:rsid w:val="0012111A"/>
    <w:rsid w:val="001226D3"/>
    <w:rsid w:val="001624A7"/>
    <w:rsid w:val="00167F74"/>
    <w:rsid w:val="001715DA"/>
    <w:rsid w:val="00171E5E"/>
    <w:rsid w:val="00174CA7"/>
    <w:rsid w:val="001851ED"/>
    <w:rsid w:val="00197C21"/>
    <w:rsid w:val="001B10C2"/>
    <w:rsid w:val="001B1BB4"/>
    <w:rsid w:val="001B4546"/>
    <w:rsid w:val="001B5BCE"/>
    <w:rsid w:val="001B6B1B"/>
    <w:rsid w:val="001E2240"/>
    <w:rsid w:val="001F77F6"/>
    <w:rsid w:val="00202345"/>
    <w:rsid w:val="00207157"/>
    <w:rsid w:val="00207F9D"/>
    <w:rsid w:val="002173A7"/>
    <w:rsid w:val="00223CE7"/>
    <w:rsid w:val="00224443"/>
    <w:rsid w:val="0022643F"/>
    <w:rsid w:val="002443CC"/>
    <w:rsid w:val="002466CE"/>
    <w:rsid w:val="002530E1"/>
    <w:rsid w:val="00253559"/>
    <w:rsid w:val="00257DD3"/>
    <w:rsid w:val="00263364"/>
    <w:rsid w:val="00272ADC"/>
    <w:rsid w:val="0028281A"/>
    <w:rsid w:val="002C0A90"/>
    <w:rsid w:val="002C6EE6"/>
    <w:rsid w:val="002E06E3"/>
    <w:rsid w:val="002E7EA2"/>
    <w:rsid w:val="0031210D"/>
    <w:rsid w:val="003132E5"/>
    <w:rsid w:val="003161E8"/>
    <w:rsid w:val="003175FC"/>
    <w:rsid w:val="00317B4E"/>
    <w:rsid w:val="00323771"/>
    <w:rsid w:val="00332C99"/>
    <w:rsid w:val="003350EA"/>
    <w:rsid w:val="00342564"/>
    <w:rsid w:val="00354410"/>
    <w:rsid w:val="0036462F"/>
    <w:rsid w:val="00365235"/>
    <w:rsid w:val="00366EB2"/>
    <w:rsid w:val="003738DE"/>
    <w:rsid w:val="003859FB"/>
    <w:rsid w:val="00394621"/>
    <w:rsid w:val="003A118F"/>
    <w:rsid w:val="003A36BF"/>
    <w:rsid w:val="003B19A7"/>
    <w:rsid w:val="003D5D87"/>
    <w:rsid w:val="003E5325"/>
    <w:rsid w:val="003E7B6F"/>
    <w:rsid w:val="0040018F"/>
    <w:rsid w:val="0040700A"/>
    <w:rsid w:val="00417BA0"/>
    <w:rsid w:val="004214B0"/>
    <w:rsid w:val="00436FBF"/>
    <w:rsid w:val="00450306"/>
    <w:rsid w:val="00453954"/>
    <w:rsid w:val="00472B37"/>
    <w:rsid w:val="0048115A"/>
    <w:rsid w:val="004857A7"/>
    <w:rsid w:val="00494EB9"/>
    <w:rsid w:val="004B3B0E"/>
    <w:rsid w:val="004B47A3"/>
    <w:rsid w:val="004B503C"/>
    <w:rsid w:val="004C21F6"/>
    <w:rsid w:val="004D43E7"/>
    <w:rsid w:val="004D72BA"/>
    <w:rsid w:val="004F17EC"/>
    <w:rsid w:val="004F3C6E"/>
    <w:rsid w:val="004F57FE"/>
    <w:rsid w:val="004F671F"/>
    <w:rsid w:val="004F721B"/>
    <w:rsid w:val="005037E0"/>
    <w:rsid w:val="0051058D"/>
    <w:rsid w:val="00513D2B"/>
    <w:rsid w:val="005207B2"/>
    <w:rsid w:val="0053098F"/>
    <w:rsid w:val="00543637"/>
    <w:rsid w:val="005567B7"/>
    <w:rsid w:val="00567DC1"/>
    <w:rsid w:val="00581792"/>
    <w:rsid w:val="00583D82"/>
    <w:rsid w:val="00585D3E"/>
    <w:rsid w:val="005A0A10"/>
    <w:rsid w:val="005A4A42"/>
    <w:rsid w:val="005B12A9"/>
    <w:rsid w:val="005B282E"/>
    <w:rsid w:val="005B2846"/>
    <w:rsid w:val="005B5357"/>
    <w:rsid w:val="005C0206"/>
    <w:rsid w:val="005C249E"/>
    <w:rsid w:val="005C6C69"/>
    <w:rsid w:val="005D0F4F"/>
    <w:rsid w:val="005D1D89"/>
    <w:rsid w:val="005D3E77"/>
    <w:rsid w:val="005E15C2"/>
    <w:rsid w:val="005E1EFE"/>
    <w:rsid w:val="005F3ABB"/>
    <w:rsid w:val="00603E61"/>
    <w:rsid w:val="00604296"/>
    <w:rsid w:val="006044F6"/>
    <w:rsid w:val="0061226B"/>
    <w:rsid w:val="00620D59"/>
    <w:rsid w:val="00622669"/>
    <w:rsid w:val="00624A2B"/>
    <w:rsid w:val="00624B35"/>
    <w:rsid w:val="00635765"/>
    <w:rsid w:val="00641042"/>
    <w:rsid w:val="00645A28"/>
    <w:rsid w:val="00662BD5"/>
    <w:rsid w:val="006801BD"/>
    <w:rsid w:val="00691F9E"/>
    <w:rsid w:val="00695C24"/>
    <w:rsid w:val="006B1ABC"/>
    <w:rsid w:val="006B36EC"/>
    <w:rsid w:val="006D0E3A"/>
    <w:rsid w:val="006D1EE8"/>
    <w:rsid w:val="006E60E7"/>
    <w:rsid w:val="006F611E"/>
    <w:rsid w:val="00712481"/>
    <w:rsid w:val="00713905"/>
    <w:rsid w:val="00720BC8"/>
    <w:rsid w:val="0072129D"/>
    <w:rsid w:val="00747F7F"/>
    <w:rsid w:val="0075767C"/>
    <w:rsid w:val="007608B0"/>
    <w:rsid w:val="00766B31"/>
    <w:rsid w:val="007677C6"/>
    <w:rsid w:val="0077460C"/>
    <w:rsid w:val="00784978"/>
    <w:rsid w:val="007A1756"/>
    <w:rsid w:val="007A472F"/>
    <w:rsid w:val="007B7AE7"/>
    <w:rsid w:val="007C5168"/>
    <w:rsid w:val="007C67C8"/>
    <w:rsid w:val="007C73E6"/>
    <w:rsid w:val="007E114E"/>
    <w:rsid w:val="007E23E9"/>
    <w:rsid w:val="008138CF"/>
    <w:rsid w:val="00813FBA"/>
    <w:rsid w:val="008174D8"/>
    <w:rsid w:val="0083589B"/>
    <w:rsid w:val="00846B59"/>
    <w:rsid w:val="008554D5"/>
    <w:rsid w:val="00857606"/>
    <w:rsid w:val="00874BC0"/>
    <w:rsid w:val="008A3095"/>
    <w:rsid w:val="008A6619"/>
    <w:rsid w:val="008B19F0"/>
    <w:rsid w:val="008B1C46"/>
    <w:rsid w:val="008B29EC"/>
    <w:rsid w:val="008B3A74"/>
    <w:rsid w:val="008D3BB2"/>
    <w:rsid w:val="008D40EA"/>
    <w:rsid w:val="008D5BD9"/>
    <w:rsid w:val="008D7BED"/>
    <w:rsid w:val="008E20FD"/>
    <w:rsid w:val="008F3A20"/>
    <w:rsid w:val="00901EBB"/>
    <w:rsid w:val="0091230B"/>
    <w:rsid w:val="0091685E"/>
    <w:rsid w:val="0092115A"/>
    <w:rsid w:val="0092633D"/>
    <w:rsid w:val="00930727"/>
    <w:rsid w:val="00935692"/>
    <w:rsid w:val="0096215A"/>
    <w:rsid w:val="0098318C"/>
    <w:rsid w:val="009934ED"/>
    <w:rsid w:val="009A1E2E"/>
    <w:rsid w:val="009A3F4B"/>
    <w:rsid w:val="009A5299"/>
    <w:rsid w:val="009B22DE"/>
    <w:rsid w:val="009C105D"/>
    <w:rsid w:val="009F0A64"/>
    <w:rsid w:val="00A007A4"/>
    <w:rsid w:val="00A2197B"/>
    <w:rsid w:val="00A22D2F"/>
    <w:rsid w:val="00A23459"/>
    <w:rsid w:val="00A3366D"/>
    <w:rsid w:val="00A4399B"/>
    <w:rsid w:val="00A50911"/>
    <w:rsid w:val="00A5139B"/>
    <w:rsid w:val="00A747E9"/>
    <w:rsid w:val="00A77D90"/>
    <w:rsid w:val="00A81D87"/>
    <w:rsid w:val="00A81F94"/>
    <w:rsid w:val="00A8731F"/>
    <w:rsid w:val="00A92CDE"/>
    <w:rsid w:val="00A96393"/>
    <w:rsid w:val="00A963F6"/>
    <w:rsid w:val="00AA6A81"/>
    <w:rsid w:val="00AB58F3"/>
    <w:rsid w:val="00AB7388"/>
    <w:rsid w:val="00AC2900"/>
    <w:rsid w:val="00AC5DE8"/>
    <w:rsid w:val="00AE3CE7"/>
    <w:rsid w:val="00B129BA"/>
    <w:rsid w:val="00B208DE"/>
    <w:rsid w:val="00B2701B"/>
    <w:rsid w:val="00B31581"/>
    <w:rsid w:val="00B32C75"/>
    <w:rsid w:val="00B35C9C"/>
    <w:rsid w:val="00B54442"/>
    <w:rsid w:val="00B709B7"/>
    <w:rsid w:val="00B80DBC"/>
    <w:rsid w:val="00B94038"/>
    <w:rsid w:val="00B965EB"/>
    <w:rsid w:val="00BA49FD"/>
    <w:rsid w:val="00BB12D3"/>
    <w:rsid w:val="00BB18FD"/>
    <w:rsid w:val="00BB4D0A"/>
    <w:rsid w:val="00BB650D"/>
    <w:rsid w:val="00BC29DD"/>
    <w:rsid w:val="00BC6E1B"/>
    <w:rsid w:val="00BD66CF"/>
    <w:rsid w:val="00C13F24"/>
    <w:rsid w:val="00C172C1"/>
    <w:rsid w:val="00C17E1C"/>
    <w:rsid w:val="00C265C9"/>
    <w:rsid w:val="00C2720A"/>
    <w:rsid w:val="00C36AF0"/>
    <w:rsid w:val="00C37361"/>
    <w:rsid w:val="00C5215E"/>
    <w:rsid w:val="00C5561E"/>
    <w:rsid w:val="00C56B3E"/>
    <w:rsid w:val="00C61D74"/>
    <w:rsid w:val="00C67E01"/>
    <w:rsid w:val="00C73417"/>
    <w:rsid w:val="00C740C3"/>
    <w:rsid w:val="00C76FAA"/>
    <w:rsid w:val="00C77098"/>
    <w:rsid w:val="00C85423"/>
    <w:rsid w:val="00C91CC5"/>
    <w:rsid w:val="00C957A6"/>
    <w:rsid w:val="00CA18F4"/>
    <w:rsid w:val="00CA2292"/>
    <w:rsid w:val="00CA2D8D"/>
    <w:rsid w:val="00CC115E"/>
    <w:rsid w:val="00CD5893"/>
    <w:rsid w:val="00CE51AB"/>
    <w:rsid w:val="00CF3529"/>
    <w:rsid w:val="00D017DD"/>
    <w:rsid w:val="00D13D78"/>
    <w:rsid w:val="00D14FF3"/>
    <w:rsid w:val="00D21F32"/>
    <w:rsid w:val="00D2518A"/>
    <w:rsid w:val="00D41E6A"/>
    <w:rsid w:val="00D51100"/>
    <w:rsid w:val="00D51B1B"/>
    <w:rsid w:val="00D54A39"/>
    <w:rsid w:val="00D63C47"/>
    <w:rsid w:val="00D64F42"/>
    <w:rsid w:val="00D674DD"/>
    <w:rsid w:val="00D72255"/>
    <w:rsid w:val="00D7273B"/>
    <w:rsid w:val="00D73643"/>
    <w:rsid w:val="00D9289B"/>
    <w:rsid w:val="00D940F6"/>
    <w:rsid w:val="00D97C3B"/>
    <w:rsid w:val="00DA59E3"/>
    <w:rsid w:val="00DB1C10"/>
    <w:rsid w:val="00DB2DFB"/>
    <w:rsid w:val="00DC0480"/>
    <w:rsid w:val="00DD6945"/>
    <w:rsid w:val="00DE103B"/>
    <w:rsid w:val="00DE1BAB"/>
    <w:rsid w:val="00DE67F9"/>
    <w:rsid w:val="00DF4667"/>
    <w:rsid w:val="00DF7E15"/>
    <w:rsid w:val="00E006F7"/>
    <w:rsid w:val="00E25450"/>
    <w:rsid w:val="00E327E7"/>
    <w:rsid w:val="00E408EE"/>
    <w:rsid w:val="00E43A08"/>
    <w:rsid w:val="00E5119C"/>
    <w:rsid w:val="00E520E6"/>
    <w:rsid w:val="00E52ED1"/>
    <w:rsid w:val="00E77CCA"/>
    <w:rsid w:val="00E96806"/>
    <w:rsid w:val="00EA06D6"/>
    <w:rsid w:val="00EA1F3B"/>
    <w:rsid w:val="00EA7AD1"/>
    <w:rsid w:val="00EA7CDB"/>
    <w:rsid w:val="00EB16CE"/>
    <w:rsid w:val="00EB4DD7"/>
    <w:rsid w:val="00EB76FC"/>
    <w:rsid w:val="00EC0170"/>
    <w:rsid w:val="00EC39D7"/>
    <w:rsid w:val="00EC49D2"/>
    <w:rsid w:val="00ED0588"/>
    <w:rsid w:val="00ED1573"/>
    <w:rsid w:val="00ED1CD9"/>
    <w:rsid w:val="00ED37EE"/>
    <w:rsid w:val="00EE4086"/>
    <w:rsid w:val="00EE4567"/>
    <w:rsid w:val="00EE6585"/>
    <w:rsid w:val="00F00331"/>
    <w:rsid w:val="00F03415"/>
    <w:rsid w:val="00F07264"/>
    <w:rsid w:val="00F16774"/>
    <w:rsid w:val="00F27A8B"/>
    <w:rsid w:val="00F418F1"/>
    <w:rsid w:val="00F4770F"/>
    <w:rsid w:val="00F4789D"/>
    <w:rsid w:val="00F5040D"/>
    <w:rsid w:val="00F6116E"/>
    <w:rsid w:val="00F61DB7"/>
    <w:rsid w:val="00F67F9B"/>
    <w:rsid w:val="00F7453D"/>
    <w:rsid w:val="00F9196B"/>
    <w:rsid w:val="00F946CC"/>
    <w:rsid w:val="00F96AD0"/>
    <w:rsid w:val="00FA6DB4"/>
    <w:rsid w:val="00FB4384"/>
    <w:rsid w:val="00FB5AC5"/>
    <w:rsid w:val="00FD1805"/>
    <w:rsid w:val="00FF12D2"/>
    <w:rsid w:val="00FF5F4E"/>
    <w:rsid w:val="00FF66C7"/>
    <w:rsid w:val="0150CA98"/>
    <w:rsid w:val="03ADFC62"/>
    <w:rsid w:val="0EAA0D8F"/>
    <w:rsid w:val="1E434E52"/>
    <w:rsid w:val="2F39E838"/>
    <w:rsid w:val="428D6E40"/>
    <w:rsid w:val="49344646"/>
    <w:rsid w:val="4BB82D87"/>
    <w:rsid w:val="4FC854C4"/>
    <w:rsid w:val="5CF81164"/>
    <w:rsid w:val="6189E92E"/>
    <w:rsid w:val="67FF7117"/>
    <w:rsid w:val="75AC12D9"/>
    <w:rsid w:val="7A186B1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1F247D54-D6C8-48C8-8E50-6588CD84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59"/>
    <w:pPr>
      <w:spacing w:after="200" w:line="276" w:lineRule="auto"/>
    </w:pPr>
    <w:rPr>
      <w:sz w:val="22"/>
      <w:szCs w:val="22"/>
    </w:rPr>
  </w:style>
  <w:style w:type="paragraph" w:styleId="Heading1">
    <w:name w:val="heading 1"/>
    <w:basedOn w:val="Normal"/>
    <w:next w:val="Normal"/>
    <w:link w:val="Heading1Char"/>
    <w:uiPriority w:val="9"/>
    <w:qFormat/>
    <w:rsid w:val="005B5357"/>
    <w:pPr>
      <w:keepNext/>
      <w:keepLines/>
      <w:spacing w:before="480" w:after="48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B58F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B58F3"/>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7E0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67E01"/>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5B5357"/>
    <w:rPr>
      <w:rFonts w:ascii="Cambria" w:eastAsia="Times New Roman" w:hAnsi="Cambria" w:cs="Times New Roman"/>
      <w:b/>
      <w:bCs/>
      <w:color w:val="365F91"/>
      <w:sz w:val="28"/>
      <w:szCs w:val="28"/>
    </w:rPr>
  </w:style>
  <w:style w:type="paragraph" w:styleId="ListParagraph">
    <w:name w:val="List Paragraph"/>
    <w:basedOn w:val="Normal"/>
    <w:link w:val="ListParagraphChar"/>
    <w:uiPriority w:val="34"/>
    <w:qFormat/>
    <w:rsid w:val="00DE1BAB"/>
    <w:pPr>
      <w:numPr>
        <w:numId w:val="1"/>
      </w:numPr>
      <w:spacing w:before="120" w:after="120" w:line="240" w:lineRule="auto"/>
      <w:ind w:left="851" w:hanging="851"/>
    </w:pPr>
    <w:rPr>
      <w:sz w:val="26"/>
      <w:szCs w:val="26"/>
    </w:rPr>
  </w:style>
  <w:style w:type="character" w:styleId="Strong">
    <w:name w:val="Strong"/>
    <w:uiPriority w:val="22"/>
    <w:qFormat/>
    <w:rsid w:val="00D73643"/>
    <w:rPr>
      <w:b/>
      <w:bCs/>
    </w:rPr>
  </w:style>
  <w:style w:type="paragraph" w:styleId="NormalWeb">
    <w:name w:val="Normal (Web)"/>
    <w:basedOn w:val="Normal"/>
    <w:uiPriority w:val="99"/>
    <w:semiHidden/>
    <w:unhideWhenUsed/>
    <w:rsid w:val="00D73643"/>
    <w:pPr>
      <w:spacing w:after="134" w:line="240" w:lineRule="auto"/>
    </w:pPr>
    <w:rPr>
      <w:rFonts w:ascii="Times New Roman" w:hAnsi="Times New Roman"/>
      <w:sz w:val="24"/>
      <w:szCs w:val="24"/>
    </w:rPr>
  </w:style>
  <w:style w:type="character" w:customStyle="1" w:styleId="Heading2Char">
    <w:name w:val="Heading 2 Char"/>
    <w:link w:val="Heading2"/>
    <w:uiPriority w:val="9"/>
    <w:rsid w:val="00AB58F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B58F3"/>
    <w:rPr>
      <w:rFonts w:ascii="Cambria" w:eastAsia="Times New Roman" w:hAnsi="Cambria" w:cs="Times New Roman"/>
      <w:b/>
      <w:bCs/>
      <w:color w:val="4F81BD"/>
    </w:rPr>
  </w:style>
  <w:style w:type="character" w:styleId="CommentReference">
    <w:name w:val="annotation reference"/>
    <w:uiPriority w:val="99"/>
    <w:semiHidden/>
    <w:unhideWhenUsed/>
    <w:rsid w:val="001B5BCE"/>
    <w:rPr>
      <w:sz w:val="16"/>
      <w:szCs w:val="16"/>
    </w:rPr>
  </w:style>
  <w:style w:type="paragraph" w:styleId="CommentText">
    <w:name w:val="annotation text"/>
    <w:basedOn w:val="Normal"/>
    <w:link w:val="CommentTextChar"/>
    <w:uiPriority w:val="99"/>
    <w:semiHidden/>
    <w:unhideWhenUsed/>
    <w:rsid w:val="001B5BCE"/>
    <w:pPr>
      <w:spacing w:line="240" w:lineRule="auto"/>
    </w:pPr>
    <w:rPr>
      <w:sz w:val="20"/>
      <w:szCs w:val="20"/>
    </w:rPr>
  </w:style>
  <w:style w:type="character" w:customStyle="1" w:styleId="CommentTextChar">
    <w:name w:val="Comment Text Char"/>
    <w:link w:val="CommentText"/>
    <w:uiPriority w:val="99"/>
    <w:semiHidden/>
    <w:rsid w:val="001B5BCE"/>
    <w:rPr>
      <w:sz w:val="20"/>
      <w:szCs w:val="20"/>
    </w:rPr>
  </w:style>
  <w:style w:type="paragraph" w:styleId="CommentSubject">
    <w:name w:val="annotation subject"/>
    <w:basedOn w:val="CommentText"/>
    <w:next w:val="CommentText"/>
    <w:link w:val="CommentSubjectChar"/>
    <w:uiPriority w:val="99"/>
    <w:semiHidden/>
    <w:unhideWhenUsed/>
    <w:rsid w:val="001B5BCE"/>
    <w:rPr>
      <w:b/>
      <w:bCs/>
    </w:rPr>
  </w:style>
  <w:style w:type="character" w:customStyle="1" w:styleId="CommentSubjectChar">
    <w:name w:val="Comment Subject Char"/>
    <w:link w:val="CommentSubject"/>
    <w:uiPriority w:val="99"/>
    <w:semiHidden/>
    <w:rsid w:val="001B5BCE"/>
    <w:rPr>
      <w:b/>
      <w:bCs/>
      <w:sz w:val="20"/>
      <w:szCs w:val="20"/>
    </w:rPr>
  </w:style>
  <w:style w:type="paragraph" w:styleId="BalloonText">
    <w:name w:val="Balloon Text"/>
    <w:basedOn w:val="Normal"/>
    <w:link w:val="BalloonTextChar"/>
    <w:uiPriority w:val="99"/>
    <w:semiHidden/>
    <w:unhideWhenUsed/>
    <w:rsid w:val="001B5B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5BCE"/>
    <w:rPr>
      <w:rFonts w:ascii="Tahoma" w:hAnsi="Tahoma" w:cs="Tahoma"/>
      <w:sz w:val="16"/>
      <w:szCs w:val="16"/>
    </w:rPr>
  </w:style>
  <w:style w:type="table" w:styleId="TableGrid">
    <w:name w:val="Table Grid"/>
    <w:basedOn w:val="TableNormal"/>
    <w:uiPriority w:val="59"/>
    <w:rsid w:val="00F47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Accent11">
    <w:name w:val="Medium Shading 2 - Accent 11"/>
    <w:basedOn w:val="TableNormal"/>
    <w:uiPriority w:val="64"/>
    <w:rsid w:val="00F478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5C020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E408EE"/>
    <w:pPr>
      <w:outlineLvl w:val="9"/>
    </w:pPr>
    <w:rPr>
      <w:lang w:val="en-US" w:eastAsia="en-US"/>
    </w:rPr>
  </w:style>
  <w:style w:type="paragraph" w:styleId="TOC1">
    <w:name w:val="toc 1"/>
    <w:basedOn w:val="ListParagraph"/>
    <w:next w:val="Normal"/>
    <w:autoRedefine/>
    <w:uiPriority w:val="39"/>
    <w:unhideWhenUsed/>
    <w:rsid w:val="00B32C75"/>
    <w:pPr>
      <w:numPr>
        <w:numId w:val="0"/>
      </w:numPr>
      <w:tabs>
        <w:tab w:val="right" w:leader="dot" w:pos="9016"/>
      </w:tabs>
    </w:pPr>
  </w:style>
  <w:style w:type="paragraph" w:styleId="TOC2">
    <w:name w:val="toc 2"/>
    <w:basedOn w:val="Normal"/>
    <w:next w:val="Normal"/>
    <w:autoRedefine/>
    <w:uiPriority w:val="39"/>
    <w:unhideWhenUsed/>
    <w:rsid w:val="0083589B"/>
    <w:pPr>
      <w:tabs>
        <w:tab w:val="right" w:leader="dot" w:pos="9016"/>
      </w:tabs>
      <w:spacing w:after="100"/>
      <w:ind w:left="220"/>
    </w:pPr>
  </w:style>
  <w:style w:type="paragraph" w:styleId="TOC3">
    <w:name w:val="toc 3"/>
    <w:basedOn w:val="Normal"/>
    <w:next w:val="Normal"/>
    <w:autoRedefine/>
    <w:uiPriority w:val="39"/>
    <w:unhideWhenUsed/>
    <w:rsid w:val="00E408EE"/>
    <w:pPr>
      <w:spacing w:after="100"/>
      <w:ind w:left="440"/>
    </w:pPr>
  </w:style>
  <w:style w:type="character" w:styleId="Hyperlink">
    <w:name w:val="Hyperlink"/>
    <w:uiPriority w:val="99"/>
    <w:unhideWhenUsed/>
    <w:rsid w:val="00E408EE"/>
    <w:rPr>
      <w:color w:val="0000FF"/>
      <w:u w:val="single"/>
    </w:rPr>
  </w:style>
  <w:style w:type="paragraph" w:styleId="FootnoteText">
    <w:name w:val="footnote text"/>
    <w:basedOn w:val="Normal"/>
    <w:link w:val="FootnoteTextChar"/>
    <w:uiPriority w:val="99"/>
    <w:semiHidden/>
    <w:unhideWhenUsed/>
    <w:rsid w:val="00EE4567"/>
    <w:pPr>
      <w:spacing w:after="0" w:line="240" w:lineRule="auto"/>
    </w:pPr>
    <w:rPr>
      <w:sz w:val="20"/>
      <w:szCs w:val="20"/>
    </w:rPr>
  </w:style>
  <w:style w:type="character" w:customStyle="1" w:styleId="FootnoteTextChar">
    <w:name w:val="Footnote Text Char"/>
    <w:link w:val="FootnoteText"/>
    <w:uiPriority w:val="99"/>
    <w:semiHidden/>
    <w:rsid w:val="00EE4567"/>
    <w:rPr>
      <w:sz w:val="20"/>
      <w:szCs w:val="20"/>
    </w:rPr>
  </w:style>
  <w:style w:type="character" w:styleId="FootnoteReference">
    <w:name w:val="footnote reference"/>
    <w:uiPriority w:val="99"/>
    <w:semiHidden/>
    <w:unhideWhenUsed/>
    <w:rsid w:val="00EE4567"/>
    <w:rPr>
      <w:vertAlign w:val="superscript"/>
    </w:rPr>
  </w:style>
  <w:style w:type="paragraph" w:styleId="Revision">
    <w:name w:val="Revision"/>
    <w:hidden/>
    <w:uiPriority w:val="99"/>
    <w:semiHidden/>
    <w:rsid w:val="00C265C9"/>
    <w:rPr>
      <w:sz w:val="22"/>
      <w:szCs w:val="22"/>
    </w:rPr>
  </w:style>
  <w:style w:type="paragraph" w:styleId="Header">
    <w:name w:val="header"/>
    <w:basedOn w:val="Normal"/>
    <w:link w:val="HeaderChar"/>
    <w:uiPriority w:val="99"/>
    <w:unhideWhenUsed/>
    <w:rsid w:val="00C26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C9"/>
  </w:style>
  <w:style w:type="paragraph" w:styleId="Footer">
    <w:name w:val="footer"/>
    <w:basedOn w:val="Normal"/>
    <w:link w:val="FooterChar"/>
    <w:uiPriority w:val="99"/>
    <w:unhideWhenUsed/>
    <w:rsid w:val="00C26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C9"/>
  </w:style>
  <w:style w:type="paragraph" w:customStyle="1" w:styleId="Default">
    <w:name w:val="Default"/>
    <w:rsid w:val="00BC29DD"/>
    <w:pPr>
      <w:autoSpaceDE w:val="0"/>
      <w:autoSpaceDN w:val="0"/>
      <w:adjustRightInd w:val="0"/>
    </w:pPr>
    <w:rPr>
      <w:rFonts w:ascii="Arial" w:hAnsi="Arial" w:cs="Arial"/>
      <w:color w:val="000000"/>
      <w:sz w:val="24"/>
      <w:szCs w:val="24"/>
    </w:rPr>
  </w:style>
  <w:style w:type="paragraph" w:customStyle="1" w:styleId="BulletParagraph">
    <w:name w:val="Bullet Paragraph"/>
    <w:basedOn w:val="ListParagraph"/>
    <w:link w:val="BulletParagraphChar"/>
    <w:qFormat/>
    <w:rsid w:val="00046CD2"/>
    <w:pPr>
      <w:numPr>
        <w:ilvl w:val="1"/>
      </w:numPr>
      <w:ind w:left="1135" w:hanging="284"/>
    </w:pPr>
  </w:style>
  <w:style w:type="character" w:customStyle="1" w:styleId="ListParagraphChar">
    <w:name w:val="List Paragraph Char"/>
    <w:link w:val="ListParagraph"/>
    <w:uiPriority w:val="34"/>
    <w:rsid w:val="00DE1BAB"/>
    <w:rPr>
      <w:sz w:val="26"/>
      <w:szCs w:val="26"/>
    </w:rPr>
  </w:style>
  <w:style w:type="character" w:customStyle="1" w:styleId="BulletParagraphChar">
    <w:name w:val="Bullet Paragraph Char"/>
    <w:link w:val="BulletParagraph"/>
    <w:rsid w:val="00046CD2"/>
    <w:rPr>
      <w:sz w:val="26"/>
      <w:szCs w:val="26"/>
    </w:rPr>
  </w:style>
  <w:style w:type="paragraph" w:customStyle="1" w:styleId="StepBulletSmall">
    <w:name w:val="Step Bullet Small"/>
    <w:basedOn w:val="ListParagraph"/>
    <w:link w:val="StepBulletSmallChar"/>
    <w:qFormat/>
    <w:rsid w:val="00450306"/>
    <w:pPr>
      <w:numPr>
        <w:numId w:val="41"/>
      </w:numPr>
    </w:pPr>
    <w:rPr>
      <w:sz w:val="22"/>
      <w:szCs w:val="22"/>
    </w:rPr>
  </w:style>
  <w:style w:type="paragraph" w:customStyle="1" w:styleId="BulletLevelParagraph">
    <w:name w:val="Bullet Level Paragraph"/>
    <w:basedOn w:val="ListParagraph"/>
    <w:link w:val="BulletLevelParagraphChar"/>
    <w:qFormat/>
    <w:rsid w:val="00DA59E3"/>
    <w:pPr>
      <w:numPr>
        <w:numId w:val="0"/>
      </w:numPr>
      <w:ind w:left="1135" w:hanging="284"/>
      <w:jc w:val="both"/>
    </w:pPr>
  </w:style>
  <w:style w:type="character" w:customStyle="1" w:styleId="StepBulletSmallChar">
    <w:name w:val="Step Bullet Small Char"/>
    <w:link w:val="StepBulletSmall"/>
    <w:rsid w:val="00450306"/>
    <w:rPr>
      <w:sz w:val="26"/>
      <w:szCs w:val="26"/>
    </w:rPr>
  </w:style>
  <w:style w:type="character" w:customStyle="1" w:styleId="BulletLevelParagraphChar">
    <w:name w:val="Bullet Level Paragraph Char"/>
    <w:link w:val="BulletLevelParagraph"/>
    <w:rsid w:val="00DA59E3"/>
    <w:rPr>
      <w:sz w:val="26"/>
      <w:szCs w:val="26"/>
    </w:rPr>
  </w:style>
  <w:style w:type="paragraph" w:customStyle="1" w:styleId="Style2">
    <w:name w:val="Style 2"/>
    <w:basedOn w:val="BulletLevelParagraph"/>
    <w:qFormat/>
    <w:rsid w:val="00DA59E3"/>
    <w:pPr>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99">
      <w:bodyDiv w:val="1"/>
      <w:marLeft w:val="0"/>
      <w:marRight w:val="0"/>
      <w:marTop w:val="0"/>
      <w:marBottom w:val="0"/>
      <w:divBdr>
        <w:top w:val="none" w:sz="0" w:space="0" w:color="auto"/>
        <w:left w:val="none" w:sz="0" w:space="0" w:color="auto"/>
        <w:bottom w:val="none" w:sz="0" w:space="0" w:color="auto"/>
        <w:right w:val="none" w:sz="0" w:space="0" w:color="auto"/>
      </w:divBdr>
    </w:div>
    <w:div w:id="136605012">
      <w:bodyDiv w:val="1"/>
      <w:marLeft w:val="0"/>
      <w:marRight w:val="0"/>
      <w:marTop w:val="0"/>
      <w:marBottom w:val="0"/>
      <w:divBdr>
        <w:top w:val="none" w:sz="0" w:space="0" w:color="auto"/>
        <w:left w:val="none" w:sz="0" w:space="0" w:color="auto"/>
        <w:bottom w:val="none" w:sz="0" w:space="0" w:color="auto"/>
        <w:right w:val="none" w:sz="0" w:space="0" w:color="auto"/>
      </w:divBdr>
      <w:divsChild>
        <w:div w:id="1042903245">
          <w:marLeft w:val="0"/>
          <w:marRight w:val="0"/>
          <w:marTop w:val="0"/>
          <w:marBottom w:val="0"/>
          <w:divBdr>
            <w:top w:val="none" w:sz="0" w:space="0" w:color="auto"/>
            <w:left w:val="none" w:sz="0" w:space="0" w:color="auto"/>
            <w:bottom w:val="none" w:sz="0" w:space="0" w:color="auto"/>
            <w:right w:val="none" w:sz="0" w:space="0" w:color="auto"/>
          </w:divBdr>
          <w:divsChild>
            <w:div w:id="1477335978">
              <w:marLeft w:val="0"/>
              <w:marRight w:val="0"/>
              <w:marTop w:val="0"/>
              <w:marBottom w:val="0"/>
              <w:divBdr>
                <w:top w:val="none" w:sz="0" w:space="0" w:color="auto"/>
                <w:left w:val="none" w:sz="0" w:space="0" w:color="auto"/>
                <w:bottom w:val="none" w:sz="0" w:space="0" w:color="auto"/>
                <w:right w:val="none" w:sz="0" w:space="0" w:color="auto"/>
              </w:divBdr>
              <w:divsChild>
                <w:div w:id="763847075">
                  <w:marLeft w:val="0"/>
                  <w:marRight w:val="0"/>
                  <w:marTop w:val="0"/>
                  <w:marBottom w:val="0"/>
                  <w:divBdr>
                    <w:top w:val="none" w:sz="0" w:space="0" w:color="auto"/>
                    <w:left w:val="none" w:sz="0" w:space="0" w:color="auto"/>
                    <w:bottom w:val="none" w:sz="0" w:space="0" w:color="auto"/>
                    <w:right w:val="none" w:sz="0" w:space="0" w:color="auto"/>
                  </w:divBdr>
                  <w:divsChild>
                    <w:div w:id="1936203396">
                      <w:marLeft w:val="0"/>
                      <w:marRight w:val="0"/>
                      <w:marTop w:val="0"/>
                      <w:marBottom w:val="0"/>
                      <w:divBdr>
                        <w:top w:val="none" w:sz="0" w:space="0" w:color="auto"/>
                        <w:left w:val="none" w:sz="0" w:space="0" w:color="auto"/>
                        <w:bottom w:val="none" w:sz="0" w:space="0" w:color="auto"/>
                        <w:right w:val="none" w:sz="0" w:space="0" w:color="auto"/>
                      </w:divBdr>
                      <w:divsChild>
                        <w:div w:id="128742197">
                          <w:marLeft w:val="0"/>
                          <w:marRight w:val="0"/>
                          <w:marTop w:val="0"/>
                          <w:marBottom w:val="0"/>
                          <w:divBdr>
                            <w:top w:val="none" w:sz="0" w:space="0" w:color="auto"/>
                            <w:left w:val="none" w:sz="0" w:space="0" w:color="auto"/>
                            <w:bottom w:val="none" w:sz="0" w:space="0" w:color="auto"/>
                            <w:right w:val="none" w:sz="0" w:space="0" w:color="auto"/>
                          </w:divBdr>
                          <w:divsChild>
                            <w:div w:id="312607217">
                              <w:marLeft w:val="0"/>
                              <w:marRight w:val="0"/>
                              <w:marTop w:val="0"/>
                              <w:marBottom w:val="0"/>
                              <w:divBdr>
                                <w:top w:val="none" w:sz="0" w:space="0" w:color="auto"/>
                                <w:left w:val="none" w:sz="0" w:space="0" w:color="auto"/>
                                <w:bottom w:val="none" w:sz="0" w:space="0" w:color="auto"/>
                                <w:right w:val="none" w:sz="0" w:space="0" w:color="auto"/>
                              </w:divBdr>
                              <w:divsChild>
                                <w:div w:id="1301305928">
                                  <w:marLeft w:val="0"/>
                                  <w:marRight w:val="0"/>
                                  <w:marTop w:val="0"/>
                                  <w:marBottom w:val="0"/>
                                  <w:divBdr>
                                    <w:top w:val="none" w:sz="0" w:space="0" w:color="auto"/>
                                    <w:left w:val="none" w:sz="0" w:space="0" w:color="auto"/>
                                    <w:bottom w:val="none" w:sz="0" w:space="0" w:color="auto"/>
                                    <w:right w:val="none" w:sz="0" w:space="0" w:color="auto"/>
                                  </w:divBdr>
                                  <w:divsChild>
                                    <w:div w:id="1601715229">
                                      <w:marLeft w:val="0"/>
                                      <w:marRight w:val="0"/>
                                      <w:marTop w:val="0"/>
                                      <w:marBottom w:val="0"/>
                                      <w:divBdr>
                                        <w:top w:val="none" w:sz="0" w:space="0" w:color="auto"/>
                                        <w:left w:val="none" w:sz="0" w:space="0" w:color="auto"/>
                                        <w:bottom w:val="none" w:sz="0" w:space="0" w:color="auto"/>
                                        <w:right w:val="none" w:sz="0" w:space="0" w:color="auto"/>
                                      </w:divBdr>
                                      <w:divsChild>
                                        <w:div w:id="1548956291">
                                          <w:marLeft w:val="0"/>
                                          <w:marRight w:val="0"/>
                                          <w:marTop w:val="0"/>
                                          <w:marBottom w:val="0"/>
                                          <w:divBdr>
                                            <w:top w:val="none" w:sz="0" w:space="0" w:color="auto"/>
                                            <w:left w:val="none" w:sz="0" w:space="0" w:color="auto"/>
                                            <w:bottom w:val="none" w:sz="0" w:space="0" w:color="auto"/>
                                            <w:right w:val="none" w:sz="0" w:space="0" w:color="auto"/>
                                          </w:divBdr>
                                          <w:divsChild>
                                            <w:div w:id="572475936">
                                              <w:marLeft w:val="0"/>
                                              <w:marRight w:val="0"/>
                                              <w:marTop w:val="0"/>
                                              <w:marBottom w:val="0"/>
                                              <w:divBdr>
                                                <w:top w:val="none" w:sz="0" w:space="0" w:color="auto"/>
                                                <w:left w:val="none" w:sz="0" w:space="0" w:color="auto"/>
                                                <w:bottom w:val="none" w:sz="0" w:space="0" w:color="auto"/>
                                                <w:right w:val="none" w:sz="0" w:space="0" w:color="auto"/>
                                              </w:divBdr>
                                              <w:divsChild>
                                                <w:div w:id="974215659">
                                                  <w:marLeft w:val="0"/>
                                                  <w:marRight w:val="0"/>
                                                  <w:marTop w:val="0"/>
                                                  <w:marBottom w:val="0"/>
                                                  <w:divBdr>
                                                    <w:top w:val="none" w:sz="0" w:space="0" w:color="auto"/>
                                                    <w:left w:val="none" w:sz="0" w:space="0" w:color="auto"/>
                                                    <w:bottom w:val="none" w:sz="0" w:space="0" w:color="auto"/>
                                                    <w:right w:val="none" w:sz="0" w:space="0" w:color="auto"/>
                                                  </w:divBdr>
                                                  <w:divsChild>
                                                    <w:div w:id="1553349164">
                                                      <w:marLeft w:val="0"/>
                                                      <w:marRight w:val="0"/>
                                                      <w:marTop w:val="0"/>
                                                      <w:marBottom w:val="0"/>
                                                      <w:divBdr>
                                                        <w:top w:val="none" w:sz="0" w:space="0" w:color="auto"/>
                                                        <w:left w:val="none" w:sz="0" w:space="0" w:color="auto"/>
                                                        <w:bottom w:val="none" w:sz="0" w:space="0" w:color="auto"/>
                                                        <w:right w:val="none" w:sz="0" w:space="0" w:color="auto"/>
                                                      </w:divBdr>
                                                      <w:divsChild>
                                                        <w:div w:id="148250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79949">
      <w:bodyDiv w:val="1"/>
      <w:marLeft w:val="0"/>
      <w:marRight w:val="0"/>
      <w:marTop w:val="0"/>
      <w:marBottom w:val="0"/>
      <w:divBdr>
        <w:top w:val="none" w:sz="0" w:space="0" w:color="auto"/>
        <w:left w:val="none" w:sz="0" w:space="0" w:color="auto"/>
        <w:bottom w:val="none" w:sz="0" w:space="0" w:color="auto"/>
        <w:right w:val="none" w:sz="0" w:space="0" w:color="auto"/>
      </w:divBdr>
    </w:div>
    <w:div w:id="278799761">
      <w:bodyDiv w:val="1"/>
      <w:marLeft w:val="0"/>
      <w:marRight w:val="0"/>
      <w:marTop w:val="0"/>
      <w:marBottom w:val="0"/>
      <w:divBdr>
        <w:top w:val="none" w:sz="0" w:space="0" w:color="auto"/>
        <w:left w:val="none" w:sz="0" w:space="0" w:color="auto"/>
        <w:bottom w:val="none" w:sz="0" w:space="0" w:color="auto"/>
        <w:right w:val="none" w:sz="0" w:space="0" w:color="auto"/>
      </w:divBdr>
    </w:div>
    <w:div w:id="319043343">
      <w:bodyDiv w:val="1"/>
      <w:marLeft w:val="0"/>
      <w:marRight w:val="0"/>
      <w:marTop w:val="0"/>
      <w:marBottom w:val="0"/>
      <w:divBdr>
        <w:top w:val="none" w:sz="0" w:space="0" w:color="auto"/>
        <w:left w:val="none" w:sz="0" w:space="0" w:color="auto"/>
        <w:bottom w:val="none" w:sz="0" w:space="0" w:color="auto"/>
        <w:right w:val="none" w:sz="0" w:space="0" w:color="auto"/>
      </w:divBdr>
    </w:div>
    <w:div w:id="329069387">
      <w:bodyDiv w:val="1"/>
      <w:marLeft w:val="0"/>
      <w:marRight w:val="0"/>
      <w:marTop w:val="0"/>
      <w:marBottom w:val="0"/>
      <w:divBdr>
        <w:top w:val="none" w:sz="0" w:space="0" w:color="auto"/>
        <w:left w:val="none" w:sz="0" w:space="0" w:color="auto"/>
        <w:bottom w:val="none" w:sz="0" w:space="0" w:color="auto"/>
        <w:right w:val="none" w:sz="0" w:space="0" w:color="auto"/>
      </w:divBdr>
    </w:div>
    <w:div w:id="6869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07210E-059A-4112-A0D1-B85D8A86A7C7}"/>
</file>

<file path=customXml/itemProps2.xml><?xml version="1.0" encoding="utf-8"?>
<ds:datastoreItem xmlns:ds="http://schemas.openxmlformats.org/officeDocument/2006/customXml" ds:itemID="{E3E3F7FF-560D-44A2-A89D-E9C6A655465E}"/>
</file>

<file path=customXml/itemProps3.xml><?xml version="1.0" encoding="utf-8"?>
<ds:datastoreItem xmlns:ds="http://schemas.openxmlformats.org/officeDocument/2006/customXml" ds:itemID="{6EEBDF8B-D315-4833-97DE-3D071D4A38A8}"/>
</file>

<file path=customXml/itemProps4.xml><?xml version="1.0" encoding="utf-8"?>
<ds:datastoreItem xmlns:ds="http://schemas.openxmlformats.org/officeDocument/2006/customXml" ds:itemID="{FCB8B8AD-429A-42AB-A855-1EDD6F62DE6F}"/>
</file>

<file path=docProps/app.xml><?xml version="1.0" encoding="utf-8"?>
<Properties xmlns="http://schemas.openxmlformats.org/officeDocument/2006/extended-properties" xmlns:vt="http://schemas.openxmlformats.org/officeDocument/2006/docPropsVTypes">
  <Template>Normal</Template>
  <TotalTime>0</TotalTime>
  <Pages>11</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Links>
    <vt:vector size="78" baseType="variant">
      <vt:variant>
        <vt:i4>1245235</vt:i4>
      </vt:variant>
      <vt:variant>
        <vt:i4>74</vt:i4>
      </vt:variant>
      <vt:variant>
        <vt:i4>0</vt:i4>
      </vt:variant>
      <vt:variant>
        <vt:i4>5</vt:i4>
      </vt:variant>
      <vt:variant>
        <vt:lpwstr/>
      </vt:variant>
      <vt:variant>
        <vt:lpwstr>_Toc456597832</vt:lpwstr>
      </vt:variant>
      <vt:variant>
        <vt:i4>1245235</vt:i4>
      </vt:variant>
      <vt:variant>
        <vt:i4>68</vt:i4>
      </vt:variant>
      <vt:variant>
        <vt:i4>0</vt:i4>
      </vt:variant>
      <vt:variant>
        <vt:i4>5</vt:i4>
      </vt:variant>
      <vt:variant>
        <vt:lpwstr/>
      </vt:variant>
      <vt:variant>
        <vt:lpwstr>_Toc456597831</vt:lpwstr>
      </vt:variant>
      <vt:variant>
        <vt:i4>1245235</vt:i4>
      </vt:variant>
      <vt:variant>
        <vt:i4>62</vt:i4>
      </vt:variant>
      <vt:variant>
        <vt:i4>0</vt:i4>
      </vt:variant>
      <vt:variant>
        <vt:i4>5</vt:i4>
      </vt:variant>
      <vt:variant>
        <vt:lpwstr/>
      </vt:variant>
      <vt:variant>
        <vt:lpwstr>_Toc456597830</vt:lpwstr>
      </vt:variant>
      <vt:variant>
        <vt:i4>1179699</vt:i4>
      </vt:variant>
      <vt:variant>
        <vt:i4>56</vt:i4>
      </vt:variant>
      <vt:variant>
        <vt:i4>0</vt:i4>
      </vt:variant>
      <vt:variant>
        <vt:i4>5</vt:i4>
      </vt:variant>
      <vt:variant>
        <vt:lpwstr/>
      </vt:variant>
      <vt:variant>
        <vt:lpwstr>_Toc456597829</vt:lpwstr>
      </vt:variant>
      <vt:variant>
        <vt:i4>1179699</vt:i4>
      </vt:variant>
      <vt:variant>
        <vt:i4>50</vt:i4>
      </vt:variant>
      <vt:variant>
        <vt:i4>0</vt:i4>
      </vt:variant>
      <vt:variant>
        <vt:i4>5</vt:i4>
      </vt:variant>
      <vt:variant>
        <vt:lpwstr/>
      </vt:variant>
      <vt:variant>
        <vt:lpwstr>_Toc456597828</vt:lpwstr>
      </vt:variant>
      <vt:variant>
        <vt:i4>1179699</vt:i4>
      </vt:variant>
      <vt:variant>
        <vt:i4>44</vt:i4>
      </vt:variant>
      <vt:variant>
        <vt:i4>0</vt:i4>
      </vt:variant>
      <vt:variant>
        <vt:i4>5</vt:i4>
      </vt:variant>
      <vt:variant>
        <vt:lpwstr/>
      </vt:variant>
      <vt:variant>
        <vt:lpwstr>_Toc456597827</vt:lpwstr>
      </vt:variant>
      <vt:variant>
        <vt:i4>1179699</vt:i4>
      </vt:variant>
      <vt:variant>
        <vt:i4>38</vt:i4>
      </vt:variant>
      <vt:variant>
        <vt:i4>0</vt:i4>
      </vt:variant>
      <vt:variant>
        <vt:i4>5</vt:i4>
      </vt:variant>
      <vt:variant>
        <vt:lpwstr/>
      </vt:variant>
      <vt:variant>
        <vt:lpwstr>_Toc456597826</vt:lpwstr>
      </vt:variant>
      <vt:variant>
        <vt:i4>1179699</vt:i4>
      </vt:variant>
      <vt:variant>
        <vt:i4>32</vt:i4>
      </vt:variant>
      <vt:variant>
        <vt:i4>0</vt:i4>
      </vt:variant>
      <vt:variant>
        <vt:i4>5</vt:i4>
      </vt:variant>
      <vt:variant>
        <vt:lpwstr/>
      </vt:variant>
      <vt:variant>
        <vt:lpwstr>_Toc456597825</vt:lpwstr>
      </vt:variant>
      <vt:variant>
        <vt:i4>1179699</vt:i4>
      </vt:variant>
      <vt:variant>
        <vt:i4>26</vt:i4>
      </vt:variant>
      <vt:variant>
        <vt:i4>0</vt:i4>
      </vt:variant>
      <vt:variant>
        <vt:i4>5</vt:i4>
      </vt:variant>
      <vt:variant>
        <vt:lpwstr/>
      </vt:variant>
      <vt:variant>
        <vt:lpwstr>_Toc456597824</vt:lpwstr>
      </vt:variant>
      <vt:variant>
        <vt:i4>1179699</vt:i4>
      </vt:variant>
      <vt:variant>
        <vt:i4>20</vt:i4>
      </vt:variant>
      <vt:variant>
        <vt:i4>0</vt:i4>
      </vt:variant>
      <vt:variant>
        <vt:i4>5</vt:i4>
      </vt:variant>
      <vt:variant>
        <vt:lpwstr/>
      </vt:variant>
      <vt:variant>
        <vt:lpwstr>_Toc456597823</vt:lpwstr>
      </vt:variant>
      <vt:variant>
        <vt:i4>1179699</vt:i4>
      </vt:variant>
      <vt:variant>
        <vt:i4>14</vt:i4>
      </vt:variant>
      <vt:variant>
        <vt:i4>0</vt:i4>
      </vt:variant>
      <vt:variant>
        <vt:i4>5</vt:i4>
      </vt:variant>
      <vt:variant>
        <vt:lpwstr/>
      </vt:variant>
      <vt:variant>
        <vt:lpwstr>_Toc456597822</vt:lpwstr>
      </vt:variant>
      <vt:variant>
        <vt:i4>1179699</vt:i4>
      </vt:variant>
      <vt:variant>
        <vt:i4>8</vt:i4>
      </vt:variant>
      <vt:variant>
        <vt:i4>0</vt:i4>
      </vt:variant>
      <vt:variant>
        <vt:i4>5</vt:i4>
      </vt:variant>
      <vt:variant>
        <vt:lpwstr/>
      </vt:variant>
      <vt:variant>
        <vt:lpwstr>_Toc456597821</vt:lpwstr>
      </vt:variant>
      <vt:variant>
        <vt:i4>1179699</vt:i4>
      </vt:variant>
      <vt:variant>
        <vt:i4>2</vt:i4>
      </vt:variant>
      <vt:variant>
        <vt:i4>0</vt:i4>
      </vt:variant>
      <vt:variant>
        <vt:i4>5</vt:i4>
      </vt:variant>
      <vt:variant>
        <vt:lpwstr/>
      </vt:variant>
      <vt:variant>
        <vt:lpwstr>_Toc456597820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Elsabe Rossouw</cp:lastModifiedBy>
  <cp:revision>2</cp:revision>
  <cp:lastPrinted>2016-10-18T12:19:00Z</cp:lastPrinted>
  <dcterms:created xsi:type="dcterms:W3CDTF">2016-11-04T11:27:00Z</dcterms:created>
  <dcterms:modified xsi:type="dcterms:W3CDTF">2016-11-04T11:27:00Z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