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footer6.xml" ContentType="application/vnd.openxmlformats-officedocument.wordprocessingml.footer+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81B" w:rsidRDefault="00B0081B" w:rsidP="00A96242">
      <w:pPr>
        <w:numPr>
          <w:ilvl w:val="0"/>
          <w:numId w:val="0"/>
        </w:numPr>
        <w:pBdr>
          <w:top w:val="single" w:sz="18" w:space="1" w:color="BF8F00"/>
          <w:left w:val="single" w:sz="18" w:space="4" w:color="BF8F00"/>
          <w:bottom w:val="single" w:sz="18" w:space="1" w:color="BF8F00"/>
          <w:right w:val="single" w:sz="18" w:space="4" w:color="BF8F00"/>
        </w:pBdr>
        <w:spacing w:before="0" w:after="0"/>
        <w:ind w:right="0"/>
        <w:jc w:val="both"/>
        <w:rPr>
          <w:rFonts w:ascii="Arial" w:eastAsia="Times New Roman" w:hAnsi="Arial"/>
          <w:color w:val="996600"/>
          <w:sz w:val="24"/>
          <w:szCs w:val="24"/>
          <w:lang w:val="en-GB" w:eastAsia="en-GB"/>
        </w:rPr>
      </w:pPr>
      <w:r w:rsidRPr="00A96242">
        <w:rPr>
          <w:rFonts w:ascii="Arial" w:eastAsia="Times New Roman" w:hAnsi="Arial"/>
          <w:color w:val="996600"/>
          <w:sz w:val="24"/>
          <w:szCs w:val="24"/>
          <w:lang w:val="en-GB" w:eastAsia="en-GB"/>
        </w:rPr>
        <w:t>Position papers do not have any legal status in its own right.  Subject matters dealt with in position papers are identified for specific consideration and may be matters controversial in nature</w:t>
      </w:r>
      <w:r w:rsidR="007C6291" w:rsidRPr="00A96242">
        <w:rPr>
          <w:rFonts w:ascii="Arial" w:eastAsia="Times New Roman" w:hAnsi="Arial"/>
          <w:color w:val="996600"/>
          <w:sz w:val="24"/>
          <w:szCs w:val="24"/>
          <w:lang w:val="en-GB" w:eastAsia="en-GB"/>
        </w:rPr>
        <w:t>.  A</w:t>
      </w:r>
      <w:r w:rsidRPr="00A96242">
        <w:rPr>
          <w:rFonts w:ascii="Arial" w:eastAsia="Times New Roman" w:hAnsi="Arial"/>
          <w:color w:val="996600"/>
          <w:sz w:val="24"/>
          <w:szCs w:val="24"/>
          <w:lang w:val="en-GB" w:eastAsia="en-GB"/>
        </w:rPr>
        <w:t>ccounting treatment become</w:t>
      </w:r>
      <w:r w:rsidR="007C6291" w:rsidRPr="00A96242">
        <w:rPr>
          <w:rFonts w:ascii="Arial" w:eastAsia="Times New Roman" w:hAnsi="Arial"/>
          <w:color w:val="996600"/>
          <w:sz w:val="24"/>
          <w:szCs w:val="24"/>
          <w:lang w:val="en-GB" w:eastAsia="en-GB"/>
        </w:rPr>
        <w:t>s</w:t>
      </w:r>
      <w:r w:rsidRPr="00A96242">
        <w:rPr>
          <w:rFonts w:ascii="Arial" w:eastAsia="Times New Roman" w:hAnsi="Arial"/>
          <w:color w:val="996600"/>
          <w:sz w:val="24"/>
          <w:szCs w:val="24"/>
          <w:lang w:val="en-GB" w:eastAsia="en-GB"/>
        </w:rPr>
        <w:t xml:space="preserve"> relevant in order to achieve consistencies in classification throughout the local government sector.  </w:t>
      </w:r>
    </w:p>
    <w:p w:rsidR="00A96242" w:rsidRPr="00A96242" w:rsidRDefault="00A96242" w:rsidP="00A96242">
      <w:pPr>
        <w:numPr>
          <w:ilvl w:val="0"/>
          <w:numId w:val="0"/>
        </w:numPr>
        <w:pBdr>
          <w:top w:val="single" w:sz="18" w:space="1" w:color="BF8F00"/>
          <w:left w:val="single" w:sz="18" w:space="4" w:color="BF8F00"/>
          <w:bottom w:val="single" w:sz="18" w:space="1" w:color="BF8F00"/>
          <w:right w:val="single" w:sz="18" w:space="4" w:color="BF8F00"/>
        </w:pBdr>
        <w:spacing w:before="0" w:after="0"/>
        <w:ind w:right="0"/>
        <w:jc w:val="both"/>
        <w:rPr>
          <w:rFonts w:ascii="Arial" w:eastAsia="Times New Roman" w:hAnsi="Arial"/>
          <w:color w:val="996600"/>
          <w:sz w:val="24"/>
          <w:szCs w:val="24"/>
          <w:lang w:val="en-GB" w:eastAsia="en-GB"/>
        </w:rPr>
      </w:pPr>
    </w:p>
    <w:p w:rsidR="00A96242" w:rsidRDefault="00B0081B" w:rsidP="00A96242">
      <w:pPr>
        <w:numPr>
          <w:ilvl w:val="0"/>
          <w:numId w:val="0"/>
        </w:numPr>
        <w:pBdr>
          <w:top w:val="single" w:sz="18" w:space="1" w:color="BF8F00"/>
          <w:left w:val="single" w:sz="18" w:space="4" w:color="BF8F00"/>
          <w:bottom w:val="single" w:sz="18" w:space="1" w:color="BF8F00"/>
          <w:right w:val="single" w:sz="18" w:space="4" w:color="BF8F00"/>
        </w:pBdr>
        <w:spacing w:before="0" w:after="0"/>
        <w:ind w:right="0"/>
        <w:jc w:val="both"/>
        <w:rPr>
          <w:rFonts w:ascii="Arial" w:eastAsia="Times New Roman" w:hAnsi="Arial"/>
          <w:color w:val="996600"/>
          <w:sz w:val="24"/>
          <w:szCs w:val="24"/>
          <w:lang w:val="en-GB" w:eastAsia="en-GB"/>
        </w:rPr>
      </w:pPr>
      <w:r w:rsidRPr="00A96242">
        <w:rPr>
          <w:rFonts w:ascii="Arial" w:eastAsia="Times New Roman" w:hAnsi="Arial"/>
          <w:color w:val="996600"/>
          <w:sz w:val="24"/>
          <w:szCs w:val="24"/>
          <w:lang w:val="en-GB" w:eastAsia="en-GB"/>
        </w:rPr>
        <w:t>Position papers need to be read together with the Project Summary Document as updated periodically by National Treasury.</w:t>
      </w:r>
    </w:p>
    <w:p w:rsidR="00B0081B" w:rsidRPr="00A96242" w:rsidRDefault="00B0081B" w:rsidP="00A96242">
      <w:pPr>
        <w:numPr>
          <w:ilvl w:val="0"/>
          <w:numId w:val="0"/>
        </w:numPr>
        <w:pBdr>
          <w:top w:val="single" w:sz="18" w:space="1" w:color="BF8F00"/>
          <w:left w:val="single" w:sz="18" w:space="4" w:color="BF8F00"/>
          <w:bottom w:val="single" w:sz="18" w:space="1" w:color="BF8F00"/>
          <w:right w:val="single" w:sz="18" w:space="4" w:color="BF8F00"/>
        </w:pBdr>
        <w:spacing w:before="0" w:after="0"/>
        <w:ind w:right="0"/>
        <w:jc w:val="both"/>
        <w:rPr>
          <w:rFonts w:ascii="Arial" w:eastAsia="Times New Roman" w:hAnsi="Arial"/>
          <w:color w:val="996600"/>
          <w:sz w:val="24"/>
          <w:szCs w:val="24"/>
          <w:lang w:val="en-GB" w:eastAsia="en-GB"/>
        </w:rPr>
      </w:pPr>
      <w:r w:rsidRPr="00A96242">
        <w:rPr>
          <w:rFonts w:ascii="Arial" w:eastAsia="Times New Roman" w:hAnsi="Arial"/>
          <w:color w:val="996600"/>
          <w:sz w:val="24"/>
          <w:szCs w:val="24"/>
          <w:lang w:val="en-GB" w:eastAsia="en-GB"/>
        </w:rPr>
        <w:t xml:space="preserve">  </w:t>
      </w:r>
    </w:p>
    <w:p w:rsidR="00B0081B" w:rsidRDefault="00B0081B" w:rsidP="00A96242">
      <w:pPr>
        <w:numPr>
          <w:ilvl w:val="0"/>
          <w:numId w:val="0"/>
        </w:numPr>
        <w:pBdr>
          <w:top w:val="single" w:sz="18" w:space="1" w:color="BF8F00"/>
          <w:left w:val="single" w:sz="18" w:space="4" w:color="BF8F00"/>
          <w:bottom w:val="single" w:sz="18" w:space="1" w:color="BF8F00"/>
          <w:right w:val="single" w:sz="18" w:space="4" w:color="BF8F00"/>
        </w:pBdr>
        <w:spacing w:before="0" w:after="0"/>
        <w:ind w:right="0"/>
        <w:jc w:val="both"/>
        <w:rPr>
          <w:rFonts w:ascii="Arial" w:eastAsia="Times New Roman" w:hAnsi="Arial"/>
          <w:color w:val="996600"/>
          <w:sz w:val="24"/>
          <w:szCs w:val="24"/>
          <w:lang w:val="en-GB" w:eastAsia="en-GB"/>
        </w:rPr>
      </w:pPr>
      <w:r w:rsidRPr="00A96242">
        <w:rPr>
          <w:rFonts w:ascii="Arial" w:eastAsia="Times New Roman" w:hAnsi="Arial"/>
          <w:color w:val="996600"/>
          <w:sz w:val="24"/>
          <w:szCs w:val="24"/>
          <w:lang w:val="en-GB" w:eastAsia="en-GB"/>
        </w:rPr>
        <w:t xml:space="preserve">Position papers DO NOT replace any National Treasury guidelines, circulars, practice notes or implementation guidelines.  </w:t>
      </w:r>
    </w:p>
    <w:p w:rsidR="00A96242" w:rsidRPr="00A96242" w:rsidRDefault="00A96242" w:rsidP="00A96242">
      <w:pPr>
        <w:numPr>
          <w:ilvl w:val="0"/>
          <w:numId w:val="0"/>
        </w:numPr>
        <w:pBdr>
          <w:top w:val="single" w:sz="18" w:space="1" w:color="BF8F00"/>
          <w:left w:val="single" w:sz="18" w:space="4" w:color="BF8F00"/>
          <w:bottom w:val="single" w:sz="18" w:space="1" w:color="BF8F00"/>
          <w:right w:val="single" w:sz="18" w:space="4" w:color="BF8F00"/>
        </w:pBdr>
        <w:spacing w:before="0" w:after="0"/>
        <w:ind w:right="0"/>
        <w:jc w:val="both"/>
        <w:rPr>
          <w:rFonts w:ascii="Arial" w:eastAsia="Times New Roman" w:hAnsi="Arial"/>
          <w:color w:val="996600"/>
          <w:sz w:val="24"/>
          <w:szCs w:val="24"/>
          <w:lang w:val="en-GB" w:eastAsia="en-GB"/>
        </w:rPr>
      </w:pPr>
    </w:p>
    <w:p w:rsidR="00B0081B" w:rsidRDefault="00B0081B" w:rsidP="00A96242">
      <w:pPr>
        <w:numPr>
          <w:ilvl w:val="0"/>
          <w:numId w:val="0"/>
        </w:numPr>
        <w:pBdr>
          <w:top w:val="single" w:sz="18" w:space="1" w:color="BF8F00"/>
          <w:left w:val="single" w:sz="18" w:space="4" w:color="BF8F00"/>
          <w:bottom w:val="single" w:sz="18" w:space="1" w:color="BF8F00"/>
          <w:right w:val="single" w:sz="18" w:space="4" w:color="BF8F00"/>
        </w:pBdr>
        <w:spacing w:before="0" w:after="0"/>
        <w:ind w:right="0"/>
        <w:jc w:val="both"/>
        <w:rPr>
          <w:rFonts w:ascii="Arial" w:eastAsia="Times New Roman" w:hAnsi="Arial"/>
          <w:color w:val="996600"/>
          <w:sz w:val="24"/>
          <w:szCs w:val="24"/>
          <w:lang w:val="en-GB" w:eastAsia="en-GB"/>
        </w:rPr>
      </w:pPr>
      <w:r w:rsidRPr="00A96242">
        <w:rPr>
          <w:rFonts w:ascii="Arial" w:eastAsia="Times New Roman" w:hAnsi="Arial"/>
          <w:color w:val="996600"/>
          <w:sz w:val="24"/>
          <w:szCs w:val="24"/>
          <w:lang w:val="en-GB" w:eastAsia="en-GB"/>
        </w:rPr>
        <w:t xml:space="preserve">Position papers are prepared by the mSCOA Project Team based on information collected through the mSCOA Project Lifecycle.  Consultation with interested parties may be necessary in concluding on subject matters.  </w:t>
      </w:r>
    </w:p>
    <w:p w:rsidR="00A96242" w:rsidRPr="00A96242" w:rsidRDefault="00A96242" w:rsidP="00A96242">
      <w:pPr>
        <w:numPr>
          <w:ilvl w:val="0"/>
          <w:numId w:val="0"/>
        </w:numPr>
        <w:pBdr>
          <w:top w:val="single" w:sz="18" w:space="1" w:color="BF8F00"/>
          <w:left w:val="single" w:sz="18" w:space="4" w:color="BF8F00"/>
          <w:bottom w:val="single" w:sz="18" w:space="1" w:color="BF8F00"/>
          <w:right w:val="single" w:sz="18" w:space="4" w:color="BF8F00"/>
        </w:pBdr>
        <w:spacing w:before="0" w:after="0"/>
        <w:ind w:right="0"/>
        <w:jc w:val="both"/>
        <w:rPr>
          <w:rFonts w:ascii="Arial" w:eastAsia="Times New Roman" w:hAnsi="Arial"/>
          <w:color w:val="996600"/>
          <w:sz w:val="24"/>
          <w:szCs w:val="24"/>
          <w:lang w:val="en-GB" w:eastAsia="en-GB"/>
        </w:rPr>
      </w:pPr>
    </w:p>
    <w:p w:rsidR="00B0081B" w:rsidRDefault="00B0081B" w:rsidP="00A96242">
      <w:pPr>
        <w:numPr>
          <w:ilvl w:val="0"/>
          <w:numId w:val="0"/>
        </w:numPr>
        <w:pBdr>
          <w:top w:val="single" w:sz="18" w:space="1" w:color="BF8F00"/>
          <w:left w:val="single" w:sz="18" w:space="4" w:color="BF8F00"/>
          <w:bottom w:val="single" w:sz="18" w:space="1" w:color="BF8F00"/>
          <w:right w:val="single" w:sz="18" w:space="4" w:color="BF8F00"/>
        </w:pBdr>
        <w:spacing w:before="0" w:after="0"/>
        <w:ind w:right="0"/>
        <w:jc w:val="both"/>
        <w:rPr>
          <w:rFonts w:ascii="Arial" w:eastAsia="Times New Roman" w:hAnsi="Arial"/>
          <w:color w:val="996600"/>
          <w:sz w:val="24"/>
          <w:szCs w:val="24"/>
          <w:lang w:val="en-GB" w:eastAsia="en-GB"/>
        </w:rPr>
      </w:pPr>
      <w:r w:rsidRPr="00A96242">
        <w:rPr>
          <w:rFonts w:ascii="Arial" w:eastAsia="Times New Roman" w:hAnsi="Arial"/>
          <w:color w:val="996600"/>
          <w:sz w:val="24"/>
          <w:szCs w:val="24"/>
          <w:lang w:val="en-GB" w:eastAsia="en-GB"/>
        </w:rPr>
        <w:t xml:space="preserve">Terminology applied in the position paper will be specifically defined for updating the Standard Terminology list as published on the National Treasury web as part of the </w:t>
      </w:r>
      <w:proofErr w:type="spellStart"/>
      <w:r w:rsidRPr="00A96242">
        <w:rPr>
          <w:rFonts w:ascii="Arial" w:eastAsia="Times New Roman" w:hAnsi="Arial"/>
          <w:color w:val="996600"/>
          <w:sz w:val="24"/>
          <w:szCs w:val="24"/>
          <w:lang w:val="en-GB" w:eastAsia="en-GB"/>
        </w:rPr>
        <w:t>mSCOA</w:t>
      </w:r>
      <w:proofErr w:type="spellEnd"/>
      <w:r w:rsidRPr="00A96242">
        <w:rPr>
          <w:rFonts w:ascii="Arial" w:eastAsia="Times New Roman" w:hAnsi="Arial"/>
          <w:color w:val="996600"/>
          <w:sz w:val="24"/>
          <w:szCs w:val="24"/>
          <w:lang w:val="en-GB" w:eastAsia="en-GB"/>
        </w:rPr>
        <w:t xml:space="preserve"> project documents.</w:t>
      </w:r>
    </w:p>
    <w:p w:rsidR="00A96242" w:rsidRPr="00A96242" w:rsidRDefault="00A96242" w:rsidP="00A96242">
      <w:pPr>
        <w:numPr>
          <w:ilvl w:val="0"/>
          <w:numId w:val="0"/>
        </w:numPr>
        <w:pBdr>
          <w:top w:val="single" w:sz="18" w:space="1" w:color="BF8F00"/>
          <w:left w:val="single" w:sz="18" w:space="4" w:color="BF8F00"/>
          <w:bottom w:val="single" w:sz="18" w:space="1" w:color="BF8F00"/>
          <w:right w:val="single" w:sz="18" w:space="4" w:color="BF8F00"/>
        </w:pBdr>
        <w:spacing w:before="0" w:after="0"/>
        <w:ind w:right="0"/>
        <w:jc w:val="both"/>
        <w:rPr>
          <w:rFonts w:ascii="Arial" w:eastAsia="Times New Roman" w:hAnsi="Arial"/>
          <w:color w:val="996600"/>
          <w:sz w:val="24"/>
          <w:szCs w:val="24"/>
          <w:lang w:val="en-GB" w:eastAsia="en-GB"/>
        </w:rPr>
      </w:pPr>
    </w:p>
    <w:p w:rsidR="00B0081B" w:rsidRDefault="00B0081B" w:rsidP="00A96242">
      <w:pPr>
        <w:numPr>
          <w:ilvl w:val="0"/>
          <w:numId w:val="0"/>
        </w:numPr>
        <w:pBdr>
          <w:top w:val="single" w:sz="18" w:space="1" w:color="BF8F00"/>
          <w:left w:val="single" w:sz="18" w:space="4" w:color="BF8F00"/>
          <w:bottom w:val="single" w:sz="18" w:space="1" w:color="BF8F00"/>
          <w:right w:val="single" w:sz="18" w:space="4" w:color="BF8F00"/>
        </w:pBdr>
        <w:spacing w:before="0" w:after="0"/>
        <w:ind w:right="0"/>
        <w:jc w:val="both"/>
        <w:rPr>
          <w:rFonts w:ascii="Arial" w:eastAsia="Times New Roman" w:hAnsi="Arial"/>
          <w:color w:val="996600"/>
          <w:sz w:val="24"/>
          <w:szCs w:val="24"/>
          <w:lang w:val="en-GB" w:eastAsia="en-GB"/>
        </w:rPr>
      </w:pPr>
      <w:r w:rsidRPr="00A96242">
        <w:rPr>
          <w:rFonts w:ascii="Arial" w:eastAsia="Times New Roman" w:hAnsi="Arial"/>
          <w:color w:val="996600"/>
          <w:sz w:val="24"/>
          <w:szCs w:val="24"/>
          <w:lang w:val="en-GB" w:eastAsia="en-GB"/>
        </w:rPr>
        <w:t xml:space="preserve">Frequently asked questions received are used as part of the basis for research to cross reference to the specific queries for retaining the completeness of this source of information.  </w:t>
      </w:r>
    </w:p>
    <w:p w:rsidR="00A96242" w:rsidRPr="00A96242" w:rsidRDefault="00A96242" w:rsidP="00A96242">
      <w:pPr>
        <w:numPr>
          <w:ilvl w:val="0"/>
          <w:numId w:val="0"/>
        </w:numPr>
        <w:pBdr>
          <w:top w:val="single" w:sz="18" w:space="1" w:color="BF8F00"/>
          <w:left w:val="single" w:sz="18" w:space="4" w:color="BF8F00"/>
          <w:bottom w:val="single" w:sz="18" w:space="1" w:color="BF8F00"/>
          <w:right w:val="single" w:sz="18" w:space="4" w:color="BF8F00"/>
        </w:pBdr>
        <w:spacing w:before="0" w:after="0"/>
        <w:ind w:right="0"/>
        <w:jc w:val="both"/>
        <w:rPr>
          <w:rFonts w:ascii="Arial" w:eastAsia="Times New Roman" w:hAnsi="Arial"/>
          <w:color w:val="996600"/>
          <w:sz w:val="24"/>
          <w:szCs w:val="24"/>
          <w:lang w:val="en-GB" w:eastAsia="en-GB"/>
        </w:rPr>
      </w:pPr>
    </w:p>
    <w:p w:rsidR="00B0081B" w:rsidRDefault="00B74ADA" w:rsidP="00A96242">
      <w:pPr>
        <w:numPr>
          <w:ilvl w:val="0"/>
          <w:numId w:val="0"/>
        </w:numPr>
        <w:pBdr>
          <w:top w:val="single" w:sz="18" w:space="1" w:color="BF8F00"/>
          <w:left w:val="single" w:sz="18" w:space="4" w:color="BF8F00"/>
          <w:bottom w:val="single" w:sz="18" w:space="1" w:color="BF8F00"/>
          <w:right w:val="single" w:sz="18" w:space="4" w:color="BF8F00"/>
        </w:pBdr>
        <w:spacing w:before="0" w:after="0"/>
        <w:ind w:right="0"/>
        <w:jc w:val="both"/>
        <w:rPr>
          <w:rFonts w:ascii="Arial" w:eastAsia="Times New Roman" w:hAnsi="Arial"/>
          <w:color w:val="996600"/>
          <w:sz w:val="24"/>
          <w:szCs w:val="24"/>
          <w:lang w:val="en-GB" w:eastAsia="en-GB"/>
        </w:rPr>
      </w:pPr>
      <w:r w:rsidRPr="00A96242">
        <w:rPr>
          <w:rFonts w:ascii="Arial" w:eastAsia="Times New Roman" w:hAnsi="Arial"/>
          <w:color w:val="996600"/>
          <w:sz w:val="24"/>
          <w:szCs w:val="24"/>
          <w:lang w:val="en-GB" w:eastAsia="en-GB"/>
        </w:rPr>
        <w:t>Position Papers guide</w:t>
      </w:r>
      <w:r w:rsidR="00B0081B" w:rsidRPr="00A96242">
        <w:rPr>
          <w:rFonts w:ascii="Arial" w:eastAsia="Times New Roman" w:hAnsi="Arial"/>
          <w:color w:val="996600"/>
          <w:sz w:val="24"/>
          <w:szCs w:val="24"/>
          <w:lang w:val="en-GB" w:eastAsia="en-GB"/>
        </w:rPr>
        <w:t xml:space="preserve"> National Treasury </w:t>
      </w:r>
      <w:r w:rsidRPr="00A96242">
        <w:rPr>
          <w:rFonts w:ascii="Arial" w:eastAsia="Times New Roman" w:hAnsi="Arial"/>
          <w:color w:val="996600"/>
          <w:sz w:val="24"/>
          <w:szCs w:val="24"/>
          <w:lang w:val="en-GB" w:eastAsia="en-GB"/>
        </w:rPr>
        <w:t xml:space="preserve">to reach conclusions </w:t>
      </w:r>
      <w:r w:rsidR="00B0081B" w:rsidRPr="00A96242">
        <w:rPr>
          <w:rFonts w:ascii="Arial" w:eastAsia="Times New Roman" w:hAnsi="Arial"/>
          <w:color w:val="996600"/>
          <w:sz w:val="24"/>
          <w:szCs w:val="24"/>
          <w:lang w:val="en-GB" w:eastAsia="en-GB"/>
        </w:rPr>
        <w:t xml:space="preserve">after </w:t>
      </w:r>
      <w:r w:rsidRPr="00A96242">
        <w:rPr>
          <w:rFonts w:ascii="Arial" w:eastAsia="Times New Roman" w:hAnsi="Arial"/>
          <w:color w:val="996600"/>
          <w:sz w:val="24"/>
          <w:szCs w:val="24"/>
          <w:lang w:val="en-GB" w:eastAsia="en-GB"/>
        </w:rPr>
        <w:t>having engaged in consultation</w:t>
      </w:r>
      <w:r w:rsidR="00B0081B" w:rsidRPr="00A96242">
        <w:rPr>
          <w:rFonts w:ascii="Arial" w:eastAsia="Times New Roman" w:hAnsi="Arial"/>
          <w:color w:val="996600"/>
          <w:sz w:val="24"/>
          <w:szCs w:val="24"/>
          <w:lang w:val="en-GB" w:eastAsia="en-GB"/>
        </w:rPr>
        <w:t xml:space="preserve"> as may be defined by the mSCOA Technical Work Group, and supplemented by the views of the mSCOA Project Steering Committee.  </w:t>
      </w:r>
    </w:p>
    <w:p w:rsidR="00A96242" w:rsidRPr="00A96242" w:rsidRDefault="00A96242" w:rsidP="00A96242">
      <w:pPr>
        <w:numPr>
          <w:ilvl w:val="0"/>
          <w:numId w:val="0"/>
        </w:numPr>
        <w:pBdr>
          <w:top w:val="single" w:sz="18" w:space="1" w:color="BF8F00"/>
          <w:left w:val="single" w:sz="18" w:space="4" w:color="BF8F00"/>
          <w:bottom w:val="single" w:sz="18" w:space="1" w:color="BF8F00"/>
          <w:right w:val="single" w:sz="18" w:space="4" w:color="BF8F00"/>
        </w:pBdr>
        <w:spacing w:before="0" w:after="0"/>
        <w:ind w:right="0"/>
        <w:jc w:val="both"/>
        <w:rPr>
          <w:rFonts w:ascii="Arial" w:eastAsia="Times New Roman" w:hAnsi="Arial"/>
          <w:color w:val="996600"/>
          <w:sz w:val="24"/>
          <w:szCs w:val="24"/>
          <w:lang w:val="en-GB" w:eastAsia="en-GB"/>
        </w:rPr>
      </w:pPr>
    </w:p>
    <w:p w:rsidR="00B0081B" w:rsidRPr="00A96242" w:rsidRDefault="00B0081B" w:rsidP="00A96242">
      <w:pPr>
        <w:numPr>
          <w:ilvl w:val="0"/>
          <w:numId w:val="0"/>
        </w:numPr>
        <w:pBdr>
          <w:top w:val="single" w:sz="18" w:space="1" w:color="BF8F00"/>
          <w:left w:val="single" w:sz="18" w:space="4" w:color="BF8F00"/>
          <w:bottom w:val="single" w:sz="18" w:space="1" w:color="BF8F00"/>
          <w:right w:val="single" w:sz="18" w:space="4" w:color="BF8F00"/>
        </w:pBdr>
        <w:spacing w:before="0" w:after="0"/>
        <w:ind w:right="0"/>
        <w:jc w:val="both"/>
        <w:rPr>
          <w:rFonts w:ascii="Arial" w:eastAsia="Times New Roman" w:hAnsi="Arial"/>
          <w:color w:val="996600"/>
          <w:sz w:val="24"/>
          <w:szCs w:val="24"/>
          <w:lang w:val="en-GB" w:eastAsia="en-GB"/>
        </w:rPr>
      </w:pPr>
      <w:r w:rsidRPr="00A96242">
        <w:rPr>
          <w:rFonts w:ascii="Arial" w:eastAsia="Times New Roman" w:hAnsi="Arial"/>
          <w:color w:val="996600"/>
          <w:sz w:val="24"/>
          <w:szCs w:val="24"/>
          <w:lang w:val="en-GB" w:eastAsia="en-GB"/>
        </w:rPr>
        <w:t>Recommendations to the mSCOA Project Steering Committee may include appropriate reference to any National Treasury documentation requiring review</w:t>
      </w:r>
      <w:r w:rsidR="007C6291" w:rsidRPr="00A96242">
        <w:rPr>
          <w:rFonts w:ascii="Arial" w:eastAsia="Times New Roman" w:hAnsi="Arial"/>
          <w:color w:val="996600"/>
          <w:sz w:val="24"/>
          <w:szCs w:val="24"/>
          <w:lang w:val="en-GB" w:eastAsia="en-GB"/>
        </w:rPr>
        <w:t>,</w:t>
      </w:r>
      <w:r w:rsidRPr="00A96242">
        <w:rPr>
          <w:rFonts w:ascii="Arial" w:eastAsia="Times New Roman" w:hAnsi="Arial"/>
          <w:color w:val="996600"/>
          <w:sz w:val="24"/>
          <w:szCs w:val="24"/>
          <w:lang w:val="en-GB" w:eastAsia="en-GB"/>
        </w:rPr>
        <w:t xml:space="preserve"> following the conclusion</w:t>
      </w:r>
      <w:r w:rsidR="007C6291" w:rsidRPr="00A96242">
        <w:rPr>
          <w:rFonts w:ascii="Arial" w:eastAsia="Times New Roman" w:hAnsi="Arial"/>
          <w:color w:val="996600"/>
          <w:sz w:val="24"/>
          <w:szCs w:val="24"/>
          <w:lang w:val="en-GB" w:eastAsia="en-GB"/>
        </w:rPr>
        <w:t>s reached</w:t>
      </w:r>
      <w:r w:rsidRPr="00A96242">
        <w:rPr>
          <w:rFonts w:ascii="Arial" w:eastAsia="Times New Roman" w:hAnsi="Arial"/>
          <w:color w:val="996600"/>
          <w:sz w:val="24"/>
          <w:szCs w:val="24"/>
          <w:lang w:val="en-GB" w:eastAsia="en-GB"/>
        </w:rPr>
        <w:t xml:space="preserve"> on the position paper.</w:t>
      </w:r>
    </w:p>
    <w:p w:rsidR="00A96242" w:rsidRDefault="00A96242" w:rsidP="00A96242">
      <w:pPr>
        <w:numPr>
          <w:ilvl w:val="0"/>
          <w:numId w:val="0"/>
        </w:numPr>
        <w:pBdr>
          <w:top w:val="single" w:sz="18" w:space="1" w:color="BF8F00"/>
          <w:left w:val="single" w:sz="18" w:space="4" w:color="BF8F00"/>
          <w:bottom w:val="single" w:sz="18" w:space="1" w:color="BF8F00"/>
          <w:right w:val="single" w:sz="18" w:space="4" w:color="BF8F00"/>
        </w:pBdr>
        <w:spacing w:before="0" w:after="0"/>
        <w:ind w:right="0"/>
        <w:jc w:val="both"/>
        <w:rPr>
          <w:rFonts w:ascii="Arial" w:eastAsia="Times New Roman" w:hAnsi="Arial"/>
          <w:color w:val="996600"/>
          <w:sz w:val="24"/>
          <w:szCs w:val="24"/>
          <w:lang w:val="en-GB" w:eastAsia="en-GB"/>
        </w:rPr>
      </w:pPr>
    </w:p>
    <w:p w:rsidR="00A96242" w:rsidRPr="00A96242" w:rsidRDefault="00A96242" w:rsidP="00A96242">
      <w:pPr>
        <w:numPr>
          <w:ilvl w:val="0"/>
          <w:numId w:val="0"/>
        </w:numPr>
        <w:ind w:left="567"/>
        <w:rPr>
          <w:rFonts w:ascii="Arial" w:eastAsia="Times New Roman" w:hAnsi="Arial"/>
          <w:sz w:val="24"/>
          <w:szCs w:val="24"/>
          <w:lang w:val="en-GB" w:eastAsia="en-GB"/>
        </w:rPr>
      </w:pPr>
    </w:p>
    <w:p w:rsidR="00A96242" w:rsidRDefault="00A96242" w:rsidP="00A96242">
      <w:pPr>
        <w:numPr>
          <w:ilvl w:val="0"/>
          <w:numId w:val="0"/>
        </w:numPr>
        <w:ind w:left="567"/>
        <w:rPr>
          <w:rFonts w:ascii="Arial" w:eastAsia="Times New Roman" w:hAnsi="Arial"/>
          <w:sz w:val="24"/>
          <w:szCs w:val="24"/>
          <w:lang w:val="en-GB" w:eastAsia="en-GB"/>
        </w:rPr>
      </w:pPr>
    </w:p>
    <w:p w:rsidR="00810A47" w:rsidRPr="00A96242" w:rsidRDefault="00810A47" w:rsidP="00A96242">
      <w:pPr>
        <w:rPr>
          <w:rFonts w:ascii="Arial" w:eastAsia="Times New Roman" w:hAnsi="Arial"/>
          <w:sz w:val="24"/>
          <w:szCs w:val="24"/>
          <w:lang w:val="en-GB" w:eastAsia="en-GB"/>
        </w:rPr>
        <w:sectPr w:rsidR="00810A47" w:rsidRPr="00A96242" w:rsidSect="00F8558A">
          <w:headerReference w:type="default" r:id="rId8"/>
          <w:footerReference w:type="default" r:id="rId9"/>
          <w:headerReference w:type="first" r:id="rId10"/>
          <w:footerReference w:type="first" r:id="rId11"/>
          <w:pgSz w:w="11906" w:h="16838"/>
          <w:pgMar w:top="851" w:right="851" w:bottom="851" w:left="851" w:header="709" w:footer="57" w:gutter="0"/>
          <w:pgNumType w:start="1"/>
          <w:cols w:space="708"/>
          <w:titlePg/>
          <w:docGrid w:linePitch="381"/>
        </w:sectPr>
      </w:pPr>
    </w:p>
    <w:p w:rsidR="002B0573" w:rsidRPr="002B0573" w:rsidRDefault="002B0573" w:rsidP="002B0573">
      <w:pPr>
        <w:pStyle w:val="TOC1"/>
      </w:pPr>
      <w:r w:rsidRPr="002B0573">
        <w:lastRenderedPageBreak/>
        <w:t>CONTENT</w:t>
      </w:r>
    </w:p>
    <w:p w:rsidR="002B0573" w:rsidRDefault="002B0573" w:rsidP="002B0573">
      <w:pPr>
        <w:pStyle w:val="TOC1"/>
      </w:pPr>
    </w:p>
    <w:p w:rsidR="002B0573" w:rsidRPr="002B0573" w:rsidRDefault="002B0573" w:rsidP="00F8568B">
      <w:pPr>
        <w:pStyle w:val="TOC1"/>
        <w:spacing w:after="120"/>
        <w:rPr>
          <w:rFonts w:ascii="Arial" w:eastAsiaTheme="minorEastAsia" w:hAnsi="Arial"/>
          <w:noProof/>
          <w:sz w:val="20"/>
          <w:szCs w:val="20"/>
          <w:lang w:eastAsia="en-ZA"/>
        </w:rPr>
      </w:pPr>
      <w:r w:rsidRPr="002B0573">
        <w:rPr>
          <w:rFonts w:ascii="Arial" w:hAnsi="Arial"/>
          <w:sz w:val="20"/>
          <w:szCs w:val="20"/>
        </w:rPr>
        <w:fldChar w:fldCharType="begin"/>
      </w:r>
      <w:r w:rsidRPr="002B0573">
        <w:rPr>
          <w:rFonts w:ascii="Arial" w:hAnsi="Arial"/>
          <w:sz w:val="20"/>
          <w:szCs w:val="20"/>
        </w:rPr>
        <w:instrText xml:space="preserve"> TOC \h \z \u \t "Heading 2,1" </w:instrText>
      </w:r>
      <w:r w:rsidRPr="002B0573">
        <w:rPr>
          <w:rFonts w:ascii="Arial" w:hAnsi="Arial"/>
          <w:sz w:val="20"/>
          <w:szCs w:val="20"/>
        </w:rPr>
        <w:fldChar w:fldCharType="separate"/>
      </w:r>
      <w:hyperlink w:anchor="_Toc466032366" w:history="1">
        <w:r w:rsidRPr="002B0573">
          <w:rPr>
            <w:rStyle w:val="Hyperlink"/>
            <w:rFonts w:ascii="Arial" w:eastAsia="MS Mincho" w:hAnsi="Arial"/>
            <w:b w:val="0"/>
            <w:noProof/>
            <w:sz w:val="20"/>
            <w:szCs w:val="20"/>
            <w:lang w:eastAsia="en-ZA"/>
          </w:rPr>
          <w:t>BACKGROUND</w:t>
        </w:r>
        <w:r w:rsidRPr="002B0573">
          <w:rPr>
            <w:rFonts w:ascii="Arial" w:hAnsi="Arial"/>
            <w:noProof/>
            <w:webHidden/>
            <w:sz w:val="20"/>
            <w:szCs w:val="20"/>
          </w:rPr>
          <w:tab/>
        </w:r>
        <w:r w:rsidRPr="002B0573">
          <w:rPr>
            <w:rFonts w:ascii="Arial" w:hAnsi="Arial"/>
            <w:noProof/>
            <w:webHidden/>
            <w:sz w:val="20"/>
            <w:szCs w:val="20"/>
          </w:rPr>
          <w:fldChar w:fldCharType="begin"/>
        </w:r>
        <w:r w:rsidRPr="002B0573">
          <w:rPr>
            <w:rFonts w:ascii="Arial" w:hAnsi="Arial"/>
            <w:noProof/>
            <w:webHidden/>
            <w:sz w:val="20"/>
            <w:szCs w:val="20"/>
          </w:rPr>
          <w:instrText xml:space="preserve"> PAGEREF _Toc466032366 \h </w:instrText>
        </w:r>
        <w:r w:rsidRPr="002B0573">
          <w:rPr>
            <w:rFonts w:ascii="Arial" w:hAnsi="Arial"/>
            <w:noProof/>
            <w:webHidden/>
            <w:sz w:val="20"/>
            <w:szCs w:val="20"/>
          </w:rPr>
        </w:r>
        <w:r w:rsidRPr="002B0573">
          <w:rPr>
            <w:rFonts w:ascii="Arial" w:hAnsi="Arial"/>
            <w:noProof/>
            <w:webHidden/>
            <w:sz w:val="20"/>
            <w:szCs w:val="20"/>
          </w:rPr>
          <w:fldChar w:fldCharType="separate"/>
        </w:r>
        <w:r w:rsidRPr="002B0573">
          <w:rPr>
            <w:rFonts w:ascii="Arial" w:hAnsi="Arial"/>
            <w:noProof/>
            <w:webHidden/>
            <w:sz w:val="20"/>
            <w:szCs w:val="20"/>
          </w:rPr>
          <w:t>5</w:t>
        </w:r>
        <w:r w:rsidRPr="002B0573">
          <w:rPr>
            <w:rFonts w:ascii="Arial" w:hAnsi="Arial"/>
            <w:noProof/>
            <w:webHidden/>
            <w:sz w:val="20"/>
            <w:szCs w:val="20"/>
          </w:rPr>
          <w:fldChar w:fldCharType="end"/>
        </w:r>
      </w:hyperlink>
    </w:p>
    <w:p w:rsidR="002B0573" w:rsidRPr="002B0573" w:rsidRDefault="0039363A" w:rsidP="00F8568B">
      <w:pPr>
        <w:pStyle w:val="TOC1"/>
        <w:spacing w:after="120"/>
        <w:rPr>
          <w:rFonts w:ascii="Arial" w:eastAsiaTheme="minorEastAsia" w:hAnsi="Arial"/>
          <w:noProof/>
          <w:sz w:val="20"/>
          <w:szCs w:val="20"/>
          <w:lang w:eastAsia="en-ZA"/>
        </w:rPr>
      </w:pPr>
      <w:hyperlink w:anchor="_Toc466032367" w:history="1">
        <w:r w:rsidR="002B0573" w:rsidRPr="002B0573">
          <w:rPr>
            <w:rStyle w:val="Hyperlink"/>
            <w:rFonts w:ascii="Arial" w:eastAsia="MS Mincho" w:hAnsi="Arial"/>
            <w:b w:val="0"/>
            <w:noProof/>
            <w:sz w:val="20"/>
            <w:szCs w:val="20"/>
            <w:lang w:eastAsia="en-ZA"/>
          </w:rPr>
          <w:t>LEGISLATIVE REQUIREMENTS</w:t>
        </w:r>
        <w:r w:rsidR="002B0573" w:rsidRPr="002B0573">
          <w:rPr>
            <w:rFonts w:ascii="Arial" w:hAnsi="Arial"/>
            <w:noProof/>
            <w:webHidden/>
            <w:sz w:val="20"/>
            <w:szCs w:val="20"/>
          </w:rPr>
          <w:tab/>
        </w:r>
        <w:r w:rsidR="002B0573" w:rsidRPr="002B0573">
          <w:rPr>
            <w:rFonts w:ascii="Arial" w:hAnsi="Arial"/>
            <w:noProof/>
            <w:webHidden/>
            <w:sz w:val="20"/>
            <w:szCs w:val="20"/>
          </w:rPr>
          <w:fldChar w:fldCharType="begin"/>
        </w:r>
        <w:r w:rsidR="002B0573" w:rsidRPr="002B0573">
          <w:rPr>
            <w:rFonts w:ascii="Arial" w:hAnsi="Arial"/>
            <w:noProof/>
            <w:webHidden/>
            <w:sz w:val="20"/>
            <w:szCs w:val="20"/>
          </w:rPr>
          <w:instrText xml:space="preserve"> PAGEREF _Toc466032367 \h </w:instrText>
        </w:r>
        <w:r w:rsidR="002B0573" w:rsidRPr="002B0573">
          <w:rPr>
            <w:rFonts w:ascii="Arial" w:hAnsi="Arial"/>
            <w:noProof/>
            <w:webHidden/>
            <w:sz w:val="20"/>
            <w:szCs w:val="20"/>
          </w:rPr>
        </w:r>
        <w:r w:rsidR="002B0573" w:rsidRPr="002B0573">
          <w:rPr>
            <w:rFonts w:ascii="Arial" w:hAnsi="Arial"/>
            <w:noProof/>
            <w:webHidden/>
            <w:sz w:val="20"/>
            <w:szCs w:val="20"/>
          </w:rPr>
          <w:fldChar w:fldCharType="separate"/>
        </w:r>
        <w:r w:rsidR="002B0573" w:rsidRPr="002B0573">
          <w:rPr>
            <w:rFonts w:ascii="Arial" w:hAnsi="Arial"/>
            <w:noProof/>
            <w:webHidden/>
            <w:sz w:val="20"/>
            <w:szCs w:val="20"/>
          </w:rPr>
          <w:t>6</w:t>
        </w:r>
        <w:r w:rsidR="002B0573" w:rsidRPr="002B0573">
          <w:rPr>
            <w:rFonts w:ascii="Arial" w:hAnsi="Arial"/>
            <w:noProof/>
            <w:webHidden/>
            <w:sz w:val="20"/>
            <w:szCs w:val="20"/>
          </w:rPr>
          <w:fldChar w:fldCharType="end"/>
        </w:r>
      </w:hyperlink>
    </w:p>
    <w:p w:rsidR="002B0573" w:rsidRPr="002B0573" w:rsidRDefault="0039363A" w:rsidP="00F8568B">
      <w:pPr>
        <w:pStyle w:val="TOC1"/>
        <w:spacing w:after="120"/>
        <w:rPr>
          <w:rFonts w:ascii="Arial" w:eastAsiaTheme="minorEastAsia" w:hAnsi="Arial"/>
          <w:noProof/>
          <w:sz w:val="20"/>
          <w:szCs w:val="20"/>
          <w:lang w:eastAsia="en-ZA"/>
        </w:rPr>
      </w:pPr>
      <w:hyperlink w:anchor="_Toc466032368" w:history="1">
        <w:r w:rsidR="002B0573" w:rsidRPr="002B0573">
          <w:rPr>
            <w:rStyle w:val="Hyperlink"/>
            <w:rFonts w:ascii="Arial" w:eastAsia="MS Mincho" w:hAnsi="Arial"/>
            <w:b w:val="0"/>
            <w:noProof/>
            <w:sz w:val="20"/>
            <w:szCs w:val="20"/>
            <w:lang w:eastAsia="en-ZA"/>
          </w:rPr>
          <w:t>WHY INVOLVE INTERNAL AUDIT</w:t>
        </w:r>
        <w:r w:rsidR="002B0573" w:rsidRPr="002B0573">
          <w:rPr>
            <w:rFonts w:ascii="Arial" w:hAnsi="Arial"/>
            <w:noProof/>
            <w:webHidden/>
            <w:sz w:val="20"/>
            <w:szCs w:val="20"/>
          </w:rPr>
          <w:tab/>
        </w:r>
        <w:r w:rsidR="002B0573" w:rsidRPr="002B0573">
          <w:rPr>
            <w:rFonts w:ascii="Arial" w:hAnsi="Arial"/>
            <w:noProof/>
            <w:webHidden/>
            <w:sz w:val="20"/>
            <w:szCs w:val="20"/>
          </w:rPr>
          <w:fldChar w:fldCharType="begin"/>
        </w:r>
        <w:r w:rsidR="002B0573" w:rsidRPr="002B0573">
          <w:rPr>
            <w:rFonts w:ascii="Arial" w:hAnsi="Arial"/>
            <w:noProof/>
            <w:webHidden/>
            <w:sz w:val="20"/>
            <w:szCs w:val="20"/>
          </w:rPr>
          <w:instrText xml:space="preserve"> PAGEREF _Toc466032368 \h </w:instrText>
        </w:r>
        <w:r w:rsidR="002B0573" w:rsidRPr="002B0573">
          <w:rPr>
            <w:rFonts w:ascii="Arial" w:hAnsi="Arial"/>
            <w:noProof/>
            <w:webHidden/>
            <w:sz w:val="20"/>
            <w:szCs w:val="20"/>
          </w:rPr>
        </w:r>
        <w:r w:rsidR="002B0573" w:rsidRPr="002B0573">
          <w:rPr>
            <w:rFonts w:ascii="Arial" w:hAnsi="Arial"/>
            <w:noProof/>
            <w:webHidden/>
            <w:sz w:val="20"/>
            <w:szCs w:val="20"/>
          </w:rPr>
          <w:fldChar w:fldCharType="separate"/>
        </w:r>
        <w:r w:rsidR="002B0573" w:rsidRPr="002B0573">
          <w:rPr>
            <w:rFonts w:ascii="Arial" w:hAnsi="Arial"/>
            <w:noProof/>
            <w:webHidden/>
            <w:sz w:val="20"/>
            <w:szCs w:val="20"/>
          </w:rPr>
          <w:t>6</w:t>
        </w:r>
        <w:r w:rsidR="002B0573" w:rsidRPr="002B0573">
          <w:rPr>
            <w:rFonts w:ascii="Arial" w:hAnsi="Arial"/>
            <w:noProof/>
            <w:webHidden/>
            <w:sz w:val="20"/>
            <w:szCs w:val="20"/>
          </w:rPr>
          <w:fldChar w:fldCharType="end"/>
        </w:r>
      </w:hyperlink>
    </w:p>
    <w:p w:rsidR="002B0573" w:rsidRPr="002B0573" w:rsidRDefault="0039363A" w:rsidP="00F8568B">
      <w:pPr>
        <w:pStyle w:val="TOC1"/>
        <w:spacing w:after="120"/>
        <w:rPr>
          <w:rFonts w:ascii="Arial" w:eastAsiaTheme="minorEastAsia" w:hAnsi="Arial"/>
          <w:noProof/>
          <w:sz w:val="20"/>
          <w:szCs w:val="20"/>
          <w:lang w:eastAsia="en-ZA"/>
        </w:rPr>
      </w:pPr>
      <w:hyperlink w:anchor="_Toc466032369" w:history="1">
        <w:r w:rsidR="002B0573" w:rsidRPr="002B0573">
          <w:rPr>
            <w:rStyle w:val="Hyperlink"/>
            <w:rFonts w:ascii="Arial" w:eastAsia="MS Mincho" w:hAnsi="Arial"/>
            <w:b w:val="0"/>
            <w:noProof/>
            <w:sz w:val="20"/>
            <w:szCs w:val="20"/>
            <w:lang w:eastAsia="en-ZA"/>
          </w:rPr>
          <w:t>WHEN SHOULD INTERNAL AUDIT BE INVOLVED?</w:t>
        </w:r>
        <w:r w:rsidR="002B0573" w:rsidRPr="002B0573">
          <w:rPr>
            <w:rFonts w:ascii="Arial" w:hAnsi="Arial"/>
            <w:noProof/>
            <w:webHidden/>
            <w:sz w:val="20"/>
            <w:szCs w:val="20"/>
          </w:rPr>
          <w:tab/>
        </w:r>
        <w:r w:rsidR="002B0573" w:rsidRPr="002B0573">
          <w:rPr>
            <w:rFonts w:ascii="Arial" w:hAnsi="Arial"/>
            <w:noProof/>
            <w:webHidden/>
            <w:sz w:val="20"/>
            <w:szCs w:val="20"/>
          </w:rPr>
          <w:fldChar w:fldCharType="begin"/>
        </w:r>
        <w:r w:rsidR="002B0573" w:rsidRPr="002B0573">
          <w:rPr>
            <w:rFonts w:ascii="Arial" w:hAnsi="Arial"/>
            <w:noProof/>
            <w:webHidden/>
            <w:sz w:val="20"/>
            <w:szCs w:val="20"/>
          </w:rPr>
          <w:instrText xml:space="preserve"> PAGEREF _Toc466032369 \h </w:instrText>
        </w:r>
        <w:r w:rsidR="002B0573" w:rsidRPr="002B0573">
          <w:rPr>
            <w:rFonts w:ascii="Arial" w:hAnsi="Arial"/>
            <w:noProof/>
            <w:webHidden/>
            <w:sz w:val="20"/>
            <w:szCs w:val="20"/>
          </w:rPr>
        </w:r>
        <w:r w:rsidR="002B0573" w:rsidRPr="002B0573">
          <w:rPr>
            <w:rFonts w:ascii="Arial" w:hAnsi="Arial"/>
            <w:noProof/>
            <w:webHidden/>
            <w:sz w:val="20"/>
            <w:szCs w:val="20"/>
          </w:rPr>
          <w:fldChar w:fldCharType="separate"/>
        </w:r>
        <w:r w:rsidR="002B0573" w:rsidRPr="002B0573">
          <w:rPr>
            <w:rFonts w:ascii="Arial" w:hAnsi="Arial"/>
            <w:noProof/>
            <w:webHidden/>
            <w:sz w:val="20"/>
            <w:szCs w:val="20"/>
          </w:rPr>
          <w:t>7</w:t>
        </w:r>
        <w:r w:rsidR="002B0573" w:rsidRPr="002B0573">
          <w:rPr>
            <w:rFonts w:ascii="Arial" w:hAnsi="Arial"/>
            <w:noProof/>
            <w:webHidden/>
            <w:sz w:val="20"/>
            <w:szCs w:val="20"/>
          </w:rPr>
          <w:fldChar w:fldCharType="end"/>
        </w:r>
      </w:hyperlink>
    </w:p>
    <w:p w:rsidR="002B0573" w:rsidRPr="002B0573" w:rsidRDefault="0039363A" w:rsidP="00F8568B">
      <w:pPr>
        <w:pStyle w:val="TOC1"/>
        <w:spacing w:after="120"/>
        <w:rPr>
          <w:rFonts w:ascii="Arial" w:eastAsiaTheme="minorEastAsia" w:hAnsi="Arial"/>
          <w:noProof/>
          <w:sz w:val="20"/>
          <w:szCs w:val="20"/>
          <w:lang w:eastAsia="en-ZA"/>
        </w:rPr>
      </w:pPr>
      <w:hyperlink w:anchor="_Toc466032370" w:history="1">
        <w:r w:rsidR="002B0573" w:rsidRPr="002B0573">
          <w:rPr>
            <w:rStyle w:val="Hyperlink"/>
            <w:rFonts w:ascii="Arial" w:eastAsia="MS Mincho" w:hAnsi="Arial"/>
            <w:b w:val="0"/>
            <w:noProof/>
            <w:sz w:val="20"/>
            <w:szCs w:val="20"/>
            <w:lang w:eastAsia="en-ZA"/>
          </w:rPr>
          <w:t>THE ROLE OF INTERNAL AUDIT THROUGH THE PROJECT LIFECYCLE</w:t>
        </w:r>
        <w:r w:rsidR="002B0573" w:rsidRPr="002B0573">
          <w:rPr>
            <w:rFonts w:ascii="Arial" w:hAnsi="Arial"/>
            <w:noProof/>
            <w:webHidden/>
            <w:sz w:val="20"/>
            <w:szCs w:val="20"/>
          </w:rPr>
          <w:tab/>
        </w:r>
        <w:r w:rsidR="002B0573" w:rsidRPr="002B0573">
          <w:rPr>
            <w:rFonts w:ascii="Arial" w:hAnsi="Arial"/>
            <w:noProof/>
            <w:webHidden/>
            <w:sz w:val="20"/>
            <w:szCs w:val="20"/>
          </w:rPr>
          <w:fldChar w:fldCharType="begin"/>
        </w:r>
        <w:r w:rsidR="002B0573" w:rsidRPr="002B0573">
          <w:rPr>
            <w:rFonts w:ascii="Arial" w:hAnsi="Arial"/>
            <w:noProof/>
            <w:webHidden/>
            <w:sz w:val="20"/>
            <w:szCs w:val="20"/>
          </w:rPr>
          <w:instrText xml:space="preserve"> PAGEREF _Toc466032370 \h </w:instrText>
        </w:r>
        <w:r w:rsidR="002B0573" w:rsidRPr="002B0573">
          <w:rPr>
            <w:rFonts w:ascii="Arial" w:hAnsi="Arial"/>
            <w:noProof/>
            <w:webHidden/>
            <w:sz w:val="20"/>
            <w:szCs w:val="20"/>
          </w:rPr>
        </w:r>
        <w:r w:rsidR="002B0573" w:rsidRPr="002B0573">
          <w:rPr>
            <w:rFonts w:ascii="Arial" w:hAnsi="Arial"/>
            <w:noProof/>
            <w:webHidden/>
            <w:sz w:val="20"/>
            <w:szCs w:val="20"/>
          </w:rPr>
          <w:fldChar w:fldCharType="separate"/>
        </w:r>
        <w:r w:rsidR="002B0573" w:rsidRPr="002B0573">
          <w:rPr>
            <w:rFonts w:ascii="Arial" w:hAnsi="Arial"/>
            <w:noProof/>
            <w:webHidden/>
            <w:sz w:val="20"/>
            <w:szCs w:val="20"/>
          </w:rPr>
          <w:t>8</w:t>
        </w:r>
        <w:r w:rsidR="002B0573" w:rsidRPr="002B0573">
          <w:rPr>
            <w:rFonts w:ascii="Arial" w:hAnsi="Arial"/>
            <w:noProof/>
            <w:webHidden/>
            <w:sz w:val="20"/>
            <w:szCs w:val="20"/>
          </w:rPr>
          <w:fldChar w:fldCharType="end"/>
        </w:r>
      </w:hyperlink>
    </w:p>
    <w:p w:rsidR="002B0573" w:rsidRPr="002B0573" w:rsidRDefault="0039363A" w:rsidP="00F8568B">
      <w:pPr>
        <w:pStyle w:val="TOC1"/>
        <w:spacing w:after="120"/>
        <w:rPr>
          <w:rFonts w:ascii="Arial" w:eastAsiaTheme="minorEastAsia" w:hAnsi="Arial"/>
          <w:noProof/>
          <w:sz w:val="20"/>
          <w:szCs w:val="20"/>
          <w:lang w:eastAsia="en-ZA"/>
        </w:rPr>
      </w:pPr>
      <w:hyperlink w:anchor="_Toc466032371" w:history="1">
        <w:r w:rsidR="002B0573" w:rsidRPr="002B0573">
          <w:rPr>
            <w:rStyle w:val="Hyperlink"/>
            <w:rFonts w:ascii="Arial" w:eastAsia="MS Mincho" w:hAnsi="Arial"/>
            <w:b w:val="0"/>
            <w:noProof/>
            <w:sz w:val="20"/>
            <w:szCs w:val="20"/>
            <w:lang w:eastAsia="en-ZA"/>
          </w:rPr>
          <w:t>HOW CAN INTERNAL AUDIT HELP?</w:t>
        </w:r>
        <w:r w:rsidR="002B0573" w:rsidRPr="002B0573">
          <w:rPr>
            <w:rFonts w:ascii="Arial" w:hAnsi="Arial"/>
            <w:noProof/>
            <w:webHidden/>
            <w:sz w:val="20"/>
            <w:szCs w:val="20"/>
          </w:rPr>
          <w:tab/>
        </w:r>
        <w:r w:rsidR="002B0573" w:rsidRPr="002B0573">
          <w:rPr>
            <w:rFonts w:ascii="Arial" w:hAnsi="Arial"/>
            <w:noProof/>
            <w:webHidden/>
            <w:sz w:val="20"/>
            <w:szCs w:val="20"/>
          </w:rPr>
          <w:fldChar w:fldCharType="begin"/>
        </w:r>
        <w:r w:rsidR="002B0573" w:rsidRPr="002B0573">
          <w:rPr>
            <w:rFonts w:ascii="Arial" w:hAnsi="Arial"/>
            <w:noProof/>
            <w:webHidden/>
            <w:sz w:val="20"/>
            <w:szCs w:val="20"/>
          </w:rPr>
          <w:instrText xml:space="preserve"> PAGEREF _Toc466032371 \h </w:instrText>
        </w:r>
        <w:r w:rsidR="002B0573" w:rsidRPr="002B0573">
          <w:rPr>
            <w:rFonts w:ascii="Arial" w:hAnsi="Arial"/>
            <w:noProof/>
            <w:webHidden/>
            <w:sz w:val="20"/>
            <w:szCs w:val="20"/>
          </w:rPr>
        </w:r>
        <w:r w:rsidR="002B0573" w:rsidRPr="002B0573">
          <w:rPr>
            <w:rFonts w:ascii="Arial" w:hAnsi="Arial"/>
            <w:noProof/>
            <w:webHidden/>
            <w:sz w:val="20"/>
            <w:szCs w:val="20"/>
          </w:rPr>
          <w:fldChar w:fldCharType="separate"/>
        </w:r>
        <w:r w:rsidR="002B0573" w:rsidRPr="002B0573">
          <w:rPr>
            <w:rFonts w:ascii="Arial" w:hAnsi="Arial"/>
            <w:noProof/>
            <w:webHidden/>
            <w:sz w:val="20"/>
            <w:szCs w:val="20"/>
          </w:rPr>
          <w:t>9</w:t>
        </w:r>
        <w:r w:rsidR="002B0573" w:rsidRPr="002B0573">
          <w:rPr>
            <w:rFonts w:ascii="Arial" w:hAnsi="Arial"/>
            <w:noProof/>
            <w:webHidden/>
            <w:sz w:val="20"/>
            <w:szCs w:val="20"/>
          </w:rPr>
          <w:fldChar w:fldCharType="end"/>
        </w:r>
      </w:hyperlink>
    </w:p>
    <w:p w:rsidR="002B0573" w:rsidRPr="002B0573" w:rsidRDefault="0039363A" w:rsidP="00F8568B">
      <w:pPr>
        <w:pStyle w:val="TOC1"/>
        <w:spacing w:after="120"/>
        <w:rPr>
          <w:rFonts w:ascii="Arial" w:eastAsiaTheme="minorEastAsia" w:hAnsi="Arial"/>
          <w:noProof/>
          <w:sz w:val="20"/>
          <w:szCs w:val="20"/>
          <w:lang w:eastAsia="en-ZA"/>
        </w:rPr>
      </w:pPr>
      <w:hyperlink w:anchor="_Toc466032372" w:history="1">
        <w:r w:rsidR="002B0573" w:rsidRPr="002B0573">
          <w:rPr>
            <w:rStyle w:val="Hyperlink"/>
            <w:rFonts w:ascii="Arial" w:eastAsia="MS Mincho" w:hAnsi="Arial"/>
            <w:b w:val="0"/>
            <w:noProof/>
            <w:sz w:val="20"/>
            <w:szCs w:val="20"/>
            <w:lang w:eastAsia="en-ZA"/>
          </w:rPr>
          <w:t>PROJECT IMPLEMENTATION: A PEOPLE, PROCESS, TECHNOLOGY AND RISK MANAGEMENT PERSPECTIVE</w:t>
        </w:r>
        <w:r w:rsidR="002B0573" w:rsidRPr="002B0573">
          <w:rPr>
            <w:rFonts w:ascii="Arial" w:hAnsi="Arial"/>
            <w:noProof/>
            <w:webHidden/>
            <w:sz w:val="20"/>
            <w:szCs w:val="20"/>
          </w:rPr>
          <w:tab/>
        </w:r>
        <w:r w:rsidR="002B0573" w:rsidRPr="002B0573">
          <w:rPr>
            <w:rFonts w:ascii="Arial" w:hAnsi="Arial"/>
            <w:noProof/>
            <w:webHidden/>
            <w:sz w:val="20"/>
            <w:szCs w:val="20"/>
          </w:rPr>
          <w:fldChar w:fldCharType="begin"/>
        </w:r>
        <w:r w:rsidR="002B0573" w:rsidRPr="002B0573">
          <w:rPr>
            <w:rFonts w:ascii="Arial" w:hAnsi="Arial"/>
            <w:noProof/>
            <w:webHidden/>
            <w:sz w:val="20"/>
            <w:szCs w:val="20"/>
          </w:rPr>
          <w:instrText xml:space="preserve"> PAGEREF _Toc466032372 \h </w:instrText>
        </w:r>
        <w:r w:rsidR="002B0573" w:rsidRPr="002B0573">
          <w:rPr>
            <w:rFonts w:ascii="Arial" w:hAnsi="Arial"/>
            <w:noProof/>
            <w:webHidden/>
            <w:sz w:val="20"/>
            <w:szCs w:val="20"/>
          </w:rPr>
        </w:r>
        <w:r w:rsidR="002B0573" w:rsidRPr="002B0573">
          <w:rPr>
            <w:rFonts w:ascii="Arial" w:hAnsi="Arial"/>
            <w:noProof/>
            <w:webHidden/>
            <w:sz w:val="20"/>
            <w:szCs w:val="20"/>
          </w:rPr>
          <w:fldChar w:fldCharType="separate"/>
        </w:r>
        <w:r w:rsidR="002B0573" w:rsidRPr="002B0573">
          <w:rPr>
            <w:rFonts w:ascii="Arial" w:hAnsi="Arial"/>
            <w:noProof/>
            <w:webHidden/>
            <w:sz w:val="20"/>
            <w:szCs w:val="20"/>
          </w:rPr>
          <w:t>10</w:t>
        </w:r>
        <w:r w:rsidR="002B0573" w:rsidRPr="002B0573">
          <w:rPr>
            <w:rFonts w:ascii="Arial" w:hAnsi="Arial"/>
            <w:noProof/>
            <w:webHidden/>
            <w:sz w:val="20"/>
            <w:szCs w:val="20"/>
          </w:rPr>
          <w:fldChar w:fldCharType="end"/>
        </w:r>
      </w:hyperlink>
    </w:p>
    <w:p w:rsidR="002B0573" w:rsidRPr="002B0573" w:rsidRDefault="0039363A" w:rsidP="00F8568B">
      <w:pPr>
        <w:pStyle w:val="TOC1"/>
        <w:spacing w:after="120"/>
        <w:rPr>
          <w:rFonts w:ascii="Arial" w:eastAsiaTheme="minorEastAsia" w:hAnsi="Arial"/>
          <w:noProof/>
          <w:sz w:val="20"/>
          <w:szCs w:val="20"/>
          <w:lang w:eastAsia="en-ZA"/>
        </w:rPr>
      </w:pPr>
      <w:hyperlink w:anchor="_Toc466032373" w:history="1">
        <w:r w:rsidR="002B0573" w:rsidRPr="002B0573">
          <w:rPr>
            <w:rStyle w:val="Hyperlink"/>
            <w:rFonts w:ascii="Arial" w:eastAsia="MS Mincho" w:hAnsi="Arial"/>
            <w:b w:val="0"/>
            <w:noProof/>
            <w:sz w:val="20"/>
            <w:szCs w:val="20"/>
            <w:lang w:eastAsia="en-ZA"/>
          </w:rPr>
          <w:t>THE ROLE OF INTERNAL AUDIT IN SYSTEM CONVERSION OR RE-IMPLEMENTATION</w:t>
        </w:r>
        <w:r w:rsidR="002B0573" w:rsidRPr="002B0573">
          <w:rPr>
            <w:rFonts w:ascii="Arial" w:hAnsi="Arial"/>
            <w:noProof/>
            <w:webHidden/>
            <w:sz w:val="20"/>
            <w:szCs w:val="20"/>
          </w:rPr>
          <w:tab/>
        </w:r>
        <w:r w:rsidR="002B0573" w:rsidRPr="002B0573">
          <w:rPr>
            <w:rFonts w:ascii="Arial" w:hAnsi="Arial"/>
            <w:noProof/>
            <w:webHidden/>
            <w:sz w:val="20"/>
            <w:szCs w:val="20"/>
          </w:rPr>
          <w:fldChar w:fldCharType="begin"/>
        </w:r>
        <w:r w:rsidR="002B0573" w:rsidRPr="002B0573">
          <w:rPr>
            <w:rFonts w:ascii="Arial" w:hAnsi="Arial"/>
            <w:noProof/>
            <w:webHidden/>
            <w:sz w:val="20"/>
            <w:szCs w:val="20"/>
          </w:rPr>
          <w:instrText xml:space="preserve"> PAGEREF _Toc466032373 \h </w:instrText>
        </w:r>
        <w:r w:rsidR="002B0573" w:rsidRPr="002B0573">
          <w:rPr>
            <w:rFonts w:ascii="Arial" w:hAnsi="Arial"/>
            <w:noProof/>
            <w:webHidden/>
            <w:sz w:val="20"/>
            <w:szCs w:val="20"/>
          </w:rPr>
        </w:r>
        <w:r w:rsidR="002B0573" w:rsidRPr="002B0573">
          <w:rPr>
            <w:rFonts w:ascii="Arial" w:hAnsi="Arial"/>
            <w:noProof/>
            <w:webHidden/>
            <w:sz w:val="20"/>
            <w:szCs w:val="20"/>
          </w:rPr>
          <w:fldChar w:fldCharType="separate"/>
        </w:r>
        <w:r w:rsidR="002B0573" w:rsidRPr="002B0573">
          <w:rPr>
            <w:rFonts w:ascii="Arial" w:hAnsi="Arial"/>
            <w:noProof/>
            <w:webHidden/>
            <w:sz w:val="20"/>
            <w:szCs w:val="20"/>
          </w:rPr>
          <w:t>12</w:t>
        </w:r>
        <w:r w:rsidR="002B0573" w:rsidRPr="002B0573">
          <w:rPr>
            <w:rFonts w:ascii="Arial" w:hAnsi="Arial"/>
            <w:noProof/>
            <w:webHidden/>
            <w:sz w:val="20"/>
            <w:szCs w:val="20"/>
          </w:rPr>
          <w:fldChar w:fldCharType="end"/>
        </w:r>
      </w:hyperlink>
    </w:p>
    <w:p w:rsidR="002B0573" w:rsidRPr="002B0573" w:rsidRDefault="0039363A" w:rsidP="00F8568B">
      <w:pPr>
        <w:pStyle w:val="TOC1"/>
        <w:spacing w:after="120"/>
        <w:rPr>
          <w:rFonts w:ascii="Arial" w:eastAsiaTheme="minorEastAsia" w:hAnsi="Arial"/>
          <w:noProof/>
          <w:sz w:val="20"/>
          <w:szCs w:val="20"/>
          <w:lang w:eastAsia="en-ZA"/>
        </w:rPr>
      </w:pPr>
      <w:hyperlink w:anchor="_Toc466032374" w:history="1">
        <w:r w:rsidR="002B0573" w:rsidRPr="002B0573">
          <w:rPr>
            <w:rStyle w:val="Hyperlink"/>
            <w:rFonts w:ascii="Arial" w:eastAsia="MS Mincho" w:hAnsi="Arial"/>
            <w:b w:val="0"/>
            <w:noProof/>
            <w:sz w:val="20"/>
            <w:szCs w:val="20"/>
            <w:lang w:eastAsia="en-ZA"/>
          </w:rPr>
          <w:t>AUDIT OBJECTIVES SPECIFIC TO SYSTEM CONVERSION OR RE-IMPLEMENTATION</w:t>
        </w:r>
        <w:r w:rsidR="002B0573" w:rsidRPr="002B0573">
          <w:rPr>
            <w:rFonts w:ascii="Arial" w:hAnsi="Arial"/>
            <w:noProof/>
            <w:webHidden/>
            <w:sz w:val="20"/>
            <w:szCs w:val="20"/>
          </w:rPr>
          <w:tab/>
        </w:r>
        <w:r w:rsidR="002B0573" w:rsidRPr="002B0573">
          <w:rPr>
            <w:rFonts w:ascii="Arial" w:hAnsi="Arial"/>
            <w:noProof/>
            <w:webHidden/>
            <w:sz w:val="20"/>
            <w:szCs w:val="20"/>
          </w:rPr>
          <w:fldChar w:fldCharType="begin"/>
        </w:r>
        <w:r w:rsidR="002B0573" w:rsidRPr="002B0573">
          <w:rPr>
            <w:rFonts w:ascii="Arial" w:hAnsi="Arial"/>
            <w:noProof/>
            <w:webHidden/>
            <w:sz w:val="20"/>
            <w:szCs w:val="20"/>
          </w:rPr>
          <w:instrText xml:space="preserve"> PAGEREF _Toc466032374 \h </w:instrText>
        </w:r>
        <w:r w:rsidR="002B0573" w:rsidRPr="002B0573">
          <w:rPr>
            <w:rFonts w:ascii="Arial" w:hAnsi="Arial"/>
            <w:noProof/>
            <w:webHidden/>
            <w:sz w:val="20"/>
            <w:szCs w:val="20"/>
          </w:rPr>
        </w:r>
        <w:r w:rsidR="002B0573" w:rsidRPr="002B0573">
          <w:rPr>
            <w:rFonts w:ascii="Arial" w:hAnsi="Arial"/>
            <w:noProof/>
            <w:webHidden/>
            <w:sz w:val="20"/>
            <w:szCs w:val="20"/>
          </w:rPr>
          <w:fldChar w:fldCharType="separate"/>
        </w:r>
        <w:r w:rsidR="002B0573" w:rsidRPr="002B0573">
          <w:rPr>
            <w:rFonts w:ascii="Arial" w:hAnsi="Arial"/>
            <w:noProof/>
            <w:webHidden/>
            <w:sz w:val="20"/>
            <w:szCs w:val="20"/>
          </w:rPr>
          <w:t>13</w:t>
        </w:r>
        <w:r w:rsidR="002B0573" w:rsidRPr="002B0573">
          <w:rPr>
            <w:rFonts w:ascii="Arial" w:hAnsi="Arial"/>
            <w:noProof/>
            <w:webHidden/>
            <w:sz w:val="20"/>
            <w:szCs w:val="20"/>
          </w:rPr>
          <w:fldChar w:fldCharType="end"/>
        </w:r>
      </w:hyperlink>
    </w:p>
    <w:p w:rsidR="002B0573" w:rsidRPr="002B0573" w:rsidRDefault="0039363A" w:rsidP="00F8568B">
      <w:pPr>
        <w:pStyle w:val="TOC1"/>
        <w:spacing w:after="120"/>
        <w:rPr>
          <w:rFonts w:ascii="Arial" w:eastAsiaTheme="minorEastAsia" w:hAnsi="Arial"/>
          <w:noProof/>
          <w:sz w:val="20"/>
          <w:szCs w:val="20"/>
          <w:lang w:eastAsia="en-ZA"/>
        </w:rPr>
      </w:pPr>
      <w:hyperlink w:anchor="_Toc466032375" w:history="1">
        <w:r w:rsidR="002B0573" w:rsidRPr="002B0573">
          <w:rPr>
            <w:rStyle w:val="Hyperlink"/>
            <w:rFonts w:ascii="Arial" w:eastAsia="MS Mincho" w:hAnsi="Arial"/>
            <w:b w:val="0"/>
            <w:noProof/>
            <w:sz w:val="20"/>
            <w:szCs w:val="20"/>
            <w:lang w:eastAsia="en-ZA"/>
          </w:rPr>
          <w:t>EIGHT-STEPS TO CONSIDER IN THE INTERNAL AUDIT PROCESS</w:t>
        </w:r>
        <w:r w:rsidR="002B0573" w:rsidRPr="002B0573">
          <w:rPr>
            <w:rFonts w:ascii="Arial" w:hAnsi="Arial"/>
            <w:noProof/>
            <w:webHidden/>
            <w:sz w:val="20"/>
            <w:szCs w:val="20"/>
          </w:rPr>
          <w:tab/>
        </w:r>
        <w:r w:rsidR="002B0573" w:rsidRPr="002B0573">
          <w:rPr>
            <w:rFonts w:ascii="Arial" w:hAnsi="Arial"/>
            <w:noProof/>
            <w:webHidden/>
            <w:sz w:val="20"/>
            <w:szCs w:val="20"/>
          </w:rPr>
          <w:fldChar w:fldCharType="begin"/>
        </w:r>
        <w:r w:rsidR="002B0573" w:rsidRPr="002B0573">
          <w:rPr>
            <w:rFonts w:ascii="Arial" w:hAnsi="Arial"/>
            <w:noProof/>
            <w:webHidden/>
            <w:sz w:val="20"/>
            <w:szCs w:val="20"/>
          </w:rPr>
          <w:instrText xml:space="preserve"> PAGEREF _Toc466032375 \h </w:instrText>
        </w:r>
        <w:r w:rsidR="002B0573" w:rsidRPr="002B0573">
          <w:rPr>
            <w:rFonts w:ascii="Arial" w:hAnsi="Arial"/>
            <w:noProof/>
            <w:webHidden/>
            <w:sz w:val="20"/>
            <w:szCs w:val="20"/>
          </w:rPr>
        </w:r>
        <w:r w:rsidR="002B0573" w:rsidRPr="002B0573">
          <w:rPr>
            <w:rFonts w:ascii="Arial" w:hAnsi="Arial"/>
            <w:noProof/>
            <w:webHidden/>
            <w:sz w:val="20"/>
            <w:szCs w:val="20"/>
          </w:rPr>
          <w:fldChar w:fldCharType="separate"/>
        </w:r>
        <w:r w:rsidR="002B0573" w:rsidRPr="002B0573">
          <w:rPr>
            <w:rFonts w:ascii="Arial" w:hAnsi="Arial"/>
            <w:noProof/>
            <w:webHidden/>
            <w:sz w:val="20"/>
            <w:szCs w:val="20"/>
          </w:rPr>
          <w:t>14</w:t>
        </w:r>
        <w:r w:rsidR="002B0573" w:rsidRPr="002B0573">
          <w:rPr>
            <w:rFonts w:ascii="Arial" w:hAnsi="Arial"/>
            <w:noProof/>
            <w:webHidden/>
            <w:sz w:val="20"/>
            <w:szCs w:val="20"/>
          </w:rPr>
          <w:fldChar w:fldCharType="end"/>
        </w:r>
      </w:hyperlink>
    </w:p>
    <w:p w:rsidR="002B0573" w:rsidRPr="002B0573" w:rsidRDefault="0039363A" w:rsidP="00F8568B">
      <w:pPr>
        <w:pStyle w:val="TOC1"/>
        <w:spacing w:after="120"/>
        <w:rPr>
          <w:rFonts w:ascii="Arial" w:eastAsiaTheme="minorEastAsia" w:hAnsi="Arial"/>
          <w:noProof/>
          <w:sz w:val="20"/>
          <w:szCs w:val="20"/>
          <w:lang w:eastAsia="en-ZA"/>
        </w:rPr>
      </w:pPr>
      <w:hyperlink w:anchor="_Toc466032376" w:history="1">
        <w:r w:rsidR="002B0573" w:rsidRPr="002B0573">
          <w:rPr>
            <w:rStyle w:val="Hyperlink"/>
            <w:rFonts w:ascii="Arial" w:hAnsi="Arial"/>
            <w:b w:val="0"/>
            <w:noProof/>
            <w:sz w:val="20"/>
            <w:szCs w:val="20"/>
          </w:rPr>
          <w:t>Step 1:  Understand the IT Initiative and Project Plan</w:t>
        </w:r>
        <w:r w:rsidR="002B0573" w:rsidRPr="002B0573">
          <w:rPr>
            <w:rFonts w:ascii="Arial" w:hAnsi="Arial"/>
            <w:noProof/>
            <w:webHidden/>
            <w:sz w:val="20"/>
            <w:szCs w:val="20"/>
          </w:rPr>
          <w:tab/>
        </w:r>
        <w:r w:rsidR="002B0573" w:rsidRPr="002B0573">
          <w:rPr>
            <w:rFonts w:ascii="Arial" w:hAnsi="Arial"/>
            <w:noProof/>
            <w:webHidden/>
            <w:sz w:val="20"/>
            <w:szCs w:val="20"/>
          </w:rPr>
          <w:fldChar w:fldCharType="begin"/>
        </w:r>
        <w:r w:rsidR="002B0573" w:rsidRPr="002B0573">
          <w:rPr>
            <w:rFonts w:ascii="Arial" w:hAnsi="Arial"/>
            <w:noProof/>
            <w:webHidden/>
            <w:sz w:val="20"/>
            <w:szCs w:val="20"/>
          </w:rPr>
          <w:instrText xml:space="preserve"> PAGEREF _Toc466032376 \h </w:instrText>
        </w:r>
        <w:r w:rsidR="002B0573" w:rsidRPr="002B0573">
          <w:rPr>
            <w:rFonts w:ascii="Arial" w:hAnsi="Arial"/>
            <w:noProof/>
            <w:webHidden/>
            <w:sz w:val="20"/>
            <w:szCs w:val="20"/>
          </w:rPr>
        </w:r>
        <w:r w:rsidR="002B0573" w:rsidRPr="002B0573">
          <w:rPr>
            <w:rFonts w:ascii="Arial" w:hAnsi="Arial"/>
            <w:noProof/>
            <w:webHidden/>
            <w:sz w:val="20"/>
            <w:szCs w:val="20"/>
          </w:rPr>
          <w:fldChar w:fldCharType="separate"/>
        </w:r>
        <w:r w:rsidR="002B0573" w:rsidRPr="002B0573">
          <w:rPr>
            <w:rFonts w:ascii="Arial" w:hAnsi="Arial"/>
            <w:noProof/>
            <w:webHidden/>
            <w:sz w:val="20"/>
            <w:szCs w:val="20"/>
          </w:rPr>
          <w:t>14</w:t>
        </w:r>
        <w:r w:rsidR="002B0573" w:rsidRPr="002B0573">
          <w:rPr>
            <w:rFonts w:ascii="Arial" w:hAnsi="Arial"/>
            <w:noProof/>
            <w:webHidden/>
            <w:sz w:val="20"/>
            <w:szCs w:val="20"/>
          </w:rPr>
          <w:fldChar w:fldCharType="end"/>
        </w:r>
      </w:hyperlink>
    </w:p>
    <w:p w:rsidR="002B0573" w:rsidRPr="002B0573" w:rsidRDefault="0039363A" w:rsidP="00F8568B">
      <w:pPr>
        <w:pStyle w:val="TOC1"/>
        <w:spacing w:after="120"/>
        <w:rPr>
          <w:rFonts w:ascii="Arial" w:eastAsiaTheme="minorEastAsia" w:hAnsi="Arial"/>
          <w:noProof/>
          <w:sz w:val="20"/>
          <w:szCs w:val="20"/>
          <w:lang w:eastAsia="en-ZA"/>
        </w:rPr>
      </w:pPr>
      <w:hyperlink w:anchor="_Toc466032377" w:history="1">
        <w:r w:rsidR="002B0573" w:rsidRPr="002B0573">
          <w:rPr>
            <w:rStyle w:val="Hyperlink"/>
            <w:rFonts w:ascii="Arial" w:hAnsi="Arial"/>
            <w:b w:val="0"/>
            <w:noProof/>
            <w:sz w:val="20"/>
            <w:szCs w:val="20"/>
            <w:lang w:eastAsia="en-ZA"/>
          </w:rPr>
          <w:t>Step 2:  Complete a Risk Assessment of the Operational Changes Planned relating to the mSCOA System Implementation</w:t>
        </w:r>
        <w:r w:rsidR="002B0573" w:rsidRPr="002B0573">
          <w:rPr>
            <w:rFonts w:ascii="Arial" w:hAnsi="Arial"/>
            <w:noProof/>
            <w:webHidden/>
            <w:sz w:val="20"/>
            <w:szCs w:val="20"/>
          </w:rPr>
          <w:tab/>
        </w:r>
        <w:r w:rsidR="002B0573" w:rsidRPr="002B0573">
          <w:rPr>
            <w:rFonts w:ascii="Arial" w:hAnsi="Arial"/>
            <w:noProof/>
            <w:webHidden/>
            <w:sz w:val="20"/>
            <w:szCs w:val="20"/>
          </w:rPr>
          <w:fldChar w:fldCharType="begin"/>
        </w:r>
        <w:r w:rsidR="002B0573" w:rsidRPr="002B0573">
          <w:rPr>
            <w:rFonts w:ascii="Arial" w:hAnsi="Arial"/>
            <w:noProof/>
            <w:webHidden/>
            <w:sz w:val="20"/>
            <w:szCs w:val="20"/>
          </w:rPr>
          <w:instrText xml:space="preserve"> PAGEREF _Toc466032377 \h </w:instrText>
        </w:r>
        <w:r w:rsidR="002B0573" w:rsidRPr="002B0573">
          <w:rPr>
            <w:rFonts w:ascii="Arial" w:hAnsi="Arial"/>
            <w:noProof/>
            <w:webHidden/>
            <w:sz w:val="20"/>
            <w:szCs w:val="20"/>
          </w:rPr>
        </w:r>
        <w:r w:rsidR="002B0573" w:rsidRPr="002B0573">
          <w:rPr>
            <w:rFonts w:ascii="Arial" w:hAnsi="Arial"/>
            <w:noProof/>
            <w:webHidden/>
            <w:sz w:val="20"/>
            <w:szCs w:val="20"/>
          </w:rPr>
          <w:fldChar w:fldCharType="separate"/>
        </w:r>
        <w:r w:rsidR="002B0573" w:rsidRPr="002B0573">
          <w:rPr>
            <w:rFonts w:ascii="Arial" w:hAnsi="Arial"/>
            <w:noProof/>
            <w:webHidden/>
            <w:sz w:val="20"/>
            <w:szCs w:val="20"/>
          </w:rPr>
          <w:t>14</w:t>
        </w:r>
        <w:r w:rsidR="002B0573" w:rsidRPr="002B0573">
          <w:rPr>
            <w:rFonts w:ascii="Arial" w:hAnsi="Arial"/>
            <w:noProof/>
            <w:webHidden/>
            <w:sz w:val="20"/>
            <w:szCs w:val="20"/>
          </w:rPr>
          <w:fldChar w:fldCharType="end"/>
        </w:r>
      </w:hyperlink>
    </w:p>
    <w:p w:rsidR="002B0573" w:rsidRPr="002B0573" w:rsidRDefault="0039363A" w:rsidP="00F8568B">
      <w:pPr>
        <w:pStyle w:val="TOC1"/>
        <w:spacing w:after="120"/>
        <w:rPr>
          <w:rFonts w:ascii="Arial" w:eastAsiaTheme="minorEastAsia" w:hAnsi="Arial"/>
          <w:noProof/>
          <w:sz w:val="20"/>
          <w:szCs w:val="20"/>
          <w:lang w:eastAsia="en-ZA"/>
        </w:rPr>
      </w:pPr>
      <w:hyperlink w:anchor="_Toc466032378" w:history="1">
        <w:r w:rsidR="002B0573" w:rsidRPr="002B0573">
          <w:rPr>
            <w:rStyle w:val="Hyperlink"/>
            <w:rFonts w:ascii="Arial" w:hAnsi="Arial"/>
            <w:b w:val="0"/>
            <w:noProof/>
            <w:sz w:val="20"/>
            <w:szCs w:val="20"/>
          </w:rPr>
          <w:t>Step 3:  Assess the Project and Implementation Plans</w:t>
        </w:r>
        <w:r w:rsidR="002B0573" w:rsidRPr="002B0573">
          <w:rPr>
            <w:rFonts w:ascii="Arial" w:hAnsi="Arial"/>
            <w:noProof/>
            <w:webHidden/>
            <w:sz w:val="20"/>
            <w:szCs w:val="20"/>
          </w:rPr>
          <w:tab/>
        </w:r>
        <w:r w:rsidR="002B0573" w:rsidRPr="002B0573">
          <w:rPr>
            <w:rFonts w:ascii="Arial" w:hAnsi="Arial"/>
            <w:noProof/>
            <w:webHidden/>
            <w:sz w:val="20"/>
            <w:szCs w:val="20"/>
          </w:rPr>
          <w:fldChar w:fldCharType="begin"/>
        </w:r>
        <w:r w:rsidR="002B0573" w:rsidRPr="002B0573">
          <w:rPr>
            <w:rFonts w:ascii="Arial" w:hAnsi="Arial"/>
            <w:noProof/>
            <w:webHidden/>
            <w:sz w:val="20"/>
            <w:szCs w:val="20"/>
          </w:rPr>
          <w:instrText xml:space="preserve"> PAGEREF _Toc466032378 \h </w:instrText>
        </w:r>
        <w:r w:rsidR="002B0573" w:rsidRPr="002B0573">
          <w:rPr>
            <w:rFonts w:ascii="Arial" w:hAnsi="Arial"/>
            <w:noProof/>
            <w:webHidden/>
            <w:sz w:val="20"/>
            <w:szCs w:val="20"/>
          </w:rPr>
        </w:r>
        <w:r w:rsidR="002B0573" w:rsidRPr="002B0573">
          <w:rPr>
            <w:rFonts w:ascii="Arial" w:hAnsi="Arial"/>
            <w:noProof/>
            <w:webHidden/>
            <w:sz w:val="20"/>
            <w:szCs w:val="20"/>
          </w:rPr>
          <w:fldChar w:fldCharType="separate"/>
        </w:r>
        <w:r w:rsidR="002B0573" w:rsidRPr="002B0573">
          <w:rPr>
            <w:rFonts w:ascii="Arial" w:hAnsi="Arial"/>
            <w:noProof/>
            <w:webHidden/>
            <w:sz w:val="20"/>
            <w:szCs w:val="20"/>
          </w:rPr>
          <w:t>15</w:t>
        </w:r>
        <w:r w:rsidR="002B0573" w:rsidRPr="002B0573">
          <w:rPr>
            <w:rFonts w:ascii="Arial" w:hAnsi="Arial"/>
            <w:noProof/>
            <w:webHidden/>
            <w:sz w:val="20"/>
            <w:szCs w:val="20"/>
          </w:rPr>
          <w:fldChar w:fldCharType="end"/>
        </w:r>
      </w:hyperlink>
    </w:p>
    <w:p w:rsidR="002B0573" w:rsidRPr="002B0573" w:rsidRDefault="0039363A" w:rsidP="00F8568B">
      <w:pPr>
        <w:pStyle w:val="TOC1"/>
        <w:spacing w:after="120"/>
        <w:rPr>
          <w:rFonts w:ascii="Arial" w:eastAsiaTheme="minorEastAsia" w:hAnsi="Arial"/>
          <w:noProof/>
          <w:sz w:val="20"/>
          <w:szCs w:val="20"/>
          <w:lang w:eastAsia="en-ZA"/>
        </w:rPr>
      </w:pPr>
      <w:hyperlink w:anchor="_Toc466032379" w:history="1">
        <w:r w:rsidR="002B0573" w:rsidRPr="002B0573">
          <w:rPr>
            <w:rStyle w:val="Hyperlink"/>
            <w:rFonts w:ascii="Arial" w:hAnsi="Arial"/>
            <w:b w:val="0"/>
            <w:noProof/>
            <w:sz w:val="20"/>
            <w:szCs w:val="20"/>
            <w:lang w:eastAsia="en-ZA"/>
          </w:rPr>
          <w:t>Step 4:  Assess the Data Mapping efforts and the Operational Changes Planned</w:t>
        </w:r>
        <w:r w:rsidR="002B0573" w:rsidRPr="002B0573">
          <w:rPr>
            <w:rFonts w:ascii="Arial" w:hAnsi="Arial"/>
            <w:noProof/>
            <w:webHidden/>
            <w:sz w:val="20"/>
            <w:szCs w:val="20"/>
          </w:rPr>
          <w:tab/>
        </w:r>
        <w:r w:rsidR="002B0573" w:rsidRPr="002B0573">
          <w:rPr>
            <w:rFonts w:ascii="Arial" w:hAnsi="Arial"/>
            <w:noProof/>
            <w:webHidden/>
            <w:sz w:val="20"/>
            <w:szCs w:val="20"/>
          </w:rPr>
          <w:fldChar w:fldCharType="begin"/>
        </w:r>
        <w:r w:rsidR="002B0573" w:rsidRPr="002B0573">
          <w:rPr>
            <w:rFonts w:ascii="Arial" w:hAnsi="Arial"/>
            <w:noProof/>
            <w:webHidden/>
            <w:sz w:val="20"/>
            <w:szCs w:val="20"/>
          </w:rPr>
          <w:instrText xml:space="preserve"> PAGEREF _Toc466032379 \h </w:instrText>
        </w:r>
        <w:r w:rsidR="002B0573" w:rsidRPr="002B0573">
          <w:rPr>
            <w:rFonts w:ascii="Arial" w:hAnsi="Arial"/>
            <w:noProof/>
            <w:webHidden/>
            <w:sz w:val="20"/>
            <w:szCs w:val="20"/>
          </w:rPr>
        </w:r>
        <w:r w:rsidR="002B0573" w:rsidRPr="002B0573">
          <w:rPr>
            <w:rFonts w:ascii="Arial" w:hAnsi="Arial"/>
            <w:noProof/>
            <w:webHidden/>
            <w:sz w:val="20"/>
            <w:szCs w:val="20"/>
          </w:rPr>
          <w:fldChar w:fldCharType="separate"/>
        </w:r>
        <w:r w:rsidR="002B0573" w:rsidRPr="002B0573">
          <w:rPr>
            <w:rFonts w:ascii="Arial" w:hAnsi="Arial"/>
            <w:noProof/>
            <w:webHidden/>
            <w:sz w:val="20"/>
            <w:szCs w:val="20"/>
          </w:rPr>
          <w:t>15</w:t>
        </w:r>
        <w:r w:rsidR="002B0573" w:rsidRPr="002B0573">
          <w:rPr>
            <w:rFonts w:ascii="Arial" w:hAnsi="Arial"/>
            <w:noProof/>
            <w:webHidden/>
            <w:sz w:val="20"/>
            <w:szCs w:val="20"/>
          </w:rPr>
          <w:fldChar w:fldCharType="end"/>
        </w:r>
      </w:hyperlink>
    </w:p>
    <w:p w:rsidR="002B0573" w:rsidRPr="002B0573" w:rsidRDefault="0039363A" w:rsidP="00F8568B">
      <w:pPr>
        <w:pStyle w:val="TOC1"/>
        <w:spacing w:after="120"/>
        <w:rPr>
          <w:rFonts w:ascii="Arial" w:eastAsiaTheme="minorEastAsia" w:hAnsi="Arial"/>
          <w:noProof/>
          <w:sz w:val="20"/>
          <w:szCs w:val="20"/>
          <w:lang w:eastAsia="en-ZA"/>
        </w:rPr>
      </w:pPr>
      <w:hyperlink w:anchor="_Toc466032380" w:history="1">
        <w:r w:rsidR="002B0573" w:rsidRPr="002B0573">
          <w:rPr>
            <w:rStyle w:val="Hyperlink"/>
            <w:rFonts w:ascii="Arial" w:hAnsi="Arial"/>
            <w:b w:val="0"/>
            <w:noProof/>
            <w:sz w:val="20"/>
            <w:szCs w:val="20"/>
          </w:rPr>
          <w:t>Step 5:  Assess the Adequacy of Testing Plans</w:t>
        </w:r>
        <w:r w:rsidR="002B0573" w:rsidRPr="002B0573">
          <w:rPr>
            <w:rFonts w:ascii="Arial" w:hAnsi="Arial"/>
            <w:noProof/>
            <w:webHidden/>
            <w:sz w:val="20"/>
            <w:szCs w:val="20"/>
          </w:rPr>
          <w:tab/>
        </w:r>
        <w:r w:rsidR="002B0573" w:rsidRPr="002B0573">
          <w:rPr>
            <w:rFonts w:ascii="Arial" w:hAnsi="Arial"/>
            <w:noProof/>
            <w:webHidden/>
            <w:sz w:val="20"/>
            <w:szCs w:val="20"/>
          </w:rPr>
          <w:fldChar w:fldCharType="begin"/>
        </w:r>
        <w:r w:rsidR="002B0573" w:rsidRPr="002B0573">
          <w:rPr>
            <w:rFonts w:ascii="Arial" w:hAnsi="Arial"/>
            <w:noProof/>
            <w:webHidden/>
            <w:sz w:val="20"/>
            <w:szCs w:val="20"/>
          </w:rPr>
          <w:instrText xml:space="preserve"> PAGEREF _Toc466032380 \h </w:instrText>
        </w:r>
        <w:r w:rsidR="002B0573" w:rsidRPr="002B0573">
          <w:rPr>
            <w:rFonts w:ascii="Arial" w:hAnsi="Arial"/>
            <w:noProof/>
            <w:webHidden/>
            <w:sz w:val="20"/>
            <w:szCs w:val="20"/>
          </w:rPr>
        </w:r>
        <w:r w:rsidR="002B0573" w:rsidRPr="002B0573">
          <w:rPr>
            <w:rFonts w:ascii="Arial" w:hAnsi="Arial"/>
            <w:noProof/>
            <w:webHidden/>
            <w:sz w:val="20"/>
            <w:szCs w:val="20"/>
          </w:rPr>
          <w:fldChar w:fldCharType="separate"/>
        </w:r>
        <w:r w:rsidR="002B0573" w:rsidRPr="002B0573">
          <w:rPr>
            <w:rFonts w:ascii="Arial" w:hAnsi="Arial"/>
            <w:noProof/>
            <w:webHidden/>
            <w:sz w:val="20"/>
            <w:szCs w:val="20"/>
          </w:rPr>
          <w:t>16</w:t>
        </w:r>
        <w:r w:rsidR="002B0573" w:rsidRPr="002B0573">
          <w:rPr>
            <w:rFonts w:ascii="Arial" w:hAnsi="Arial"/>
            <w:noProof/>
            <w:webHidden/>
            <w:sz w:val="20"/>
            <w:szCs w:val="20"/>
          </w:rPr>
          <w:fldChar w:fldCharType="end"/>
        </w:r>
      </w:hyperlink>
    </w:p>
    <w:p w:rsidR="002B0573" w:rsidRPr="002B0573" w:rsidRDefault="0039363A" w:rsidP="00F8568B">
      <w:pPr>
        <w:pStyle w:val="TOC1"/>
        <w:spacing w:after="120"/>
        <w:rPr>
          <w:rFonts w:ascii="Arial" w:eastAsiaTheme="minorEastAsia" w:hAnsi="Arial"/>
          <w:noProof/>
          <w:sz w:val="20"/>
          <w:szCs w:val="20"/>
          <w:lang w:eastAsia="en-ZA"/>
        </w:rPr>
      </w:pPr>
      <w:hyperlink w:anchor="_Toc466032381" w:history="1">
        <w:r w:rsidR="002B0573" w:rsidRPr="002B0573">
          <w:rPr>
            <w:rStyle w:val="Hyperlink"/>
            <w:rFonts w:ascii="Arial" w:hAnsi="Arial"/>
            <w:b w:val="0"/>
            <w:noProof/>
            <w:sz w:val="20"/>
            <w:szCs w:val="20"/>
            <w:lang w:eastAsia="en-ZA"/>
          </w:rPr>
          <w:t>Step 6:  Complete an Implementation Readiness Assessment</w:t>
        </w:r>
        <w:r w:rsidR="002B0573" w:rsidRPr="002B0573">
          <w:rPr>
            <w:rFonts w:ascii="Arial" w:hAnsi="Arial"/>
            <w:noProof/>
            <w:webHidden/>
            <w:sz w:val="20"/>
            <w:szCs w:val="20"/>
          </w:rPr>
          <w:tab/>
        </w:r>
        <w:r w:rsidR="002B0573" w:rsidRPr="002B0573">
          <w:rPr>
            <w:rFonts w:ascii="Arial" w:hAnsi="Arial"/>
            <w:noProof/>
            <w:webHidden/>
            <w:sz w:val="20"/>
            <w:szCs w:val="20"/>
          </w:rPr>
          <w:fldChar w:fldCharType="begin"/>
        </w:r>
        <w:r w:rsidR="002B0573" w:rsidRPr="002B0573">
          <w:rPr>
            <w:rFonts w:ascii="Arial" w:hAnsi="Arial"/>
            <w:noProof/>
            <w:webHidden/>
            <w:sz w:val="20"/>
            <w:szCs w:val="20"/>
          </w:rPr>
          <w:instrText xml:space="preserve"> PAGEREF _Toc466032381 \h </w:instrText>
        </w:r>
        <w:r w:rsidR="002B0573" w:rsidRPr="002B0573">
          <w:rPr>
            <w:rFonts w:ascii="Arial" w:hAnsi="Arial"/>
            <w:noProof/>
            <w:webHidden/>
            <w:sz w:val="20"/>
            <w:szCs w:val="20"/>
          </w:rPr>
        </w:r>
        <w:r w:rsidR="002B0573" w:rsidRPr="002B0573">
          <w:rPr>
            <w:rFonts w:ascii="Arial" w:hAnsi="Arial"/>
            <w:noProof/>
            <w:webHidden/>
            <w:sz w:val="20"/>
            <w:szCs w:val="20"/>
          </w:rPr>
          <w:fldChar w:fldCharType="separate"/>
        </w:r>
        <w:r w:rsidR="002B0573" w:rsidRPr="002B0573">
          <w:rPr>
            <w:rFonts w:ascii="Arial" w:hAnsi="Arial"/>
            <w:noProof/>
            <w:webHidden/>
            <w:sz w:val="20"/>
            <w:szCs w:val="20"/>
          </w:rPr>
          <w:t>16</w:t>
        </w:r>
        <w:r w:rsidR="002B0573" w:rsidRPr="002B0573">
          <w:rPr>
            <w:rFonts w:ascii="Arial" w:hAnsi="Arial"/>
            <w:noProof/>
            <w:webHidden/>
            <w:sz w:val="20"/>
            <w:szCs w:val="20"/>
          </w:rPr>
          <w:fldChar w:fldCharType="end"/>
        </w:r>
      </w:hyperlink>
    </w:p>
    <w:p w:rsidR="002B0573" w:rsidRPr="002B0573" w:rsidRDefault="0039363A" w:rsidP="00F8568B">
      <w:pPr>
        <w:pStyle w:val="TOC1"/>
        <w:spacing w:after="120"/>
        <w:rPr>
          <w:rFonts w:ascii="Arial" w:eastAsiaTheme="minorEastAsia" w:hAnsi="Arial"/>
          <w:noProof/>
          <w:sz w:val="20"/>
          <w:szCs w:val="20"/>
          <w:lang w:eastAsia="en-ZA"/>
        </w:rPr>
      </w:pPr>
      <w:hyperlink w:anchor="_Toc466032382" w:history="1">
        <w:r w:rsidR="002B0573" w:rsidRPr="002B0573">
          <w:rPr>
            <w:rStyle w:val="Hyperlink"/>
            <w:rFonts w:ascii="Arial" w:hAnsi="Arial"/>
            <w:b w:val="0"/>
            <w:noProof/>
            <w:sz w:val="20"/>
            <w:szCs w:val="20"/>
            <w:lang w:eastAsia="en-ZA"/>
          </w:rPr>
          <w:t>Step 7:  Develop and execute the audit verification plan</w:t>
        </w:r>
        <w:r w:rsidR="002B0573" w:rsidRPr="002B0573">
          <w:rPr>
            <w:rFonts w:ascii="Arial" w:hAnsi="Arial"/>
            <w:noProof/>
            <w:webHidden/>
            <w:sz w:val="20"/>
            <w:szCs w:val="20"/>
          </w:rPr>
          <w:tab/>
        </w:r>
        <w:r w:rsidR="002B0573" w:rsidRPr="002B0573">
          <w:rPr>
            <w:rFonts w:ascii="Arial" w:hAnsi="Arial"/>
            <w:noProof/>
            <w:webHidden/>
            <w:sz w:val="20"/>
            <w:szCs w:val="20"/>
          </w:rPr>
          <w:fldChar w:fldCharType="begin"/>
        </w:r>
        <w:r w:rsidR="002B0573" w:rsidRPr="002B0573">
          <w:rPr>
            <w:rFonts w:ascii="Arial" w:hAnsi="Arial"/>
            <w:noProof/>
            <w:webHidden/>
            <w:sz w:val="20"/>
            <w:szCs w:val="20"/>
          </w:rPr>
          <w:instrText xml:space="preserve"> PAGEREF _Toc466032382 \h </w:instrText>
        </w:r>
        <w:r w:rsidR="002B0573" w:rsidRPr="002B0573">
          <w:rPr>
            <w:rFonts w:ascii="Arial" w:hAnsi="Arial"/>
            <w:noProof/>
            <w:webHidden/>
            <w:sz w:val="20"/>
            <w:szCs w:val="20"/>
          </w:rPr>
        </w:r>
        <w:r w:rsidR="002B0573" w:rsidRPr="002B0573">
          <w:rPr>
            <w:rFonts w:ascii="Arial" w:hAnsi="Arial"/>
            <w:noProof/>
            <w:webHidden/>
            <w:sz w:val="20"/>
            <w:szCs w:val="20"/>
          </w:rPr>
          <w:fldChar w:fldCharType="separate"/>
        </w:r>
        <w:r w:rsidR="002B0573" w:rsidRPr="002B0573">
          <w:rPr>
            <w:rFonts w:ascii="Arial" w:hAnsi="Arial"/>
            <w:noProof/>
            <w:webHidden/>
            <w:sz w:val="20"/>
            <w:szCs w:val="20"/>
          </w:rPr>
          <w:t>16</w:t>
        </w:r>
        <w:r w:rsidR="002B0573" w:rsidRPr="002B0573">
          <w:rPr>
            <w:rFonts w:ascii="Arial" w:hAnsi="Arial"/>
            <w:noProof/>
            <w:webHidden/>
            <w:sz w:val="20"/>
            <w:szCs w:val="20"/>
          </w:rPr>
          <w:fldChar w:fldCharType="end"/>
        </w:r>
      </w:hyperlink>
    </w:p>
    <w:p w:rsidR="002B0573" w:rsidRPr="002B0573" w:rsidRDefault="0039363A" w:rsidP="00F8568B">
      <w:pPr>
        <w:pStyle w:val="TOC1"/>
        <w:spacing w:after="120"/>
        <w:rPr>
          <w:rFonts w:ascii="Arial" w:eastAsiaTheme="minorEastAsia" w:hAnsi="Arial"/>
          <w:noProof/>
          <w:sz w:val="20"/>
          <w:szCs w:val="20"/>
          <w:lang w:eastAsia="en-ZA"/>
        </w:rPr>
      </w:pPr>
      <w:hyperlink w:anchor="_Toc466032383" w:history="1">
        <w:r w:rsidR="002B0573" w:rsidRPr="002B0573">
          <w:rPr>
            <w:rStyle w:val="Hyperlink"/>
            <w:rFonts w:ascii="Arial" w:hAnsi="Arial"/>
            <w:b w:val="0"/>
            <w:noProof/>
            <w:sz w:val="20"/>
            <w:szCs w:val="20"/>
            <w:lang w:eastAsia="en-ZA"/>
          </w:rPr>
          <w:t>Step 8:  Complete the Overall Audit Analysis of the Implementation</w:t>
        </w:r>
        <w:r w:rsidR="002B0573" w:rsidRPr="002B0573">
          <w:rPr>
            <w:rFonts w:ascii="Arial" w:hAnsi="Arial"/>
            <w:noProof/>
            <w:webHidden/>
            <w:sz w:val="20"/>
            <w:szCs w:val="20"/>
          </w:rPr>
          <w:tab/>
        </w:r>
        <w:r w:rsidR="002B0573" w:rsidRPr="002B0573">
          <w:rPr>
            <w:rFonts w:ascii="Arial" w:hAnsi="Arial"/>
            <w:noProof/>
            <w:webHidden/>
            <w:sz w:val="20"/>
            <w:szCs w:val="20"/>
          </w:rPr>
          <w:fldChar w:fldCharType="begin"/>
        </w:r>
        <w:r w:rsidR="002B0573" w:rsidRPr="002B0573">
          <w:rPr>
            <w:rFonts w:ascii="Arial" w:hAnsi="Arial"/>
            <w:noProof/>
            <w:webHidden/>
            <w:sz w:val="20"/>
            <w:szCs w:val="20"/>
          </w:rPr>
          <w:instrText xml:space="preserve"> PAGEREF _Toc466032383 \h </w:instrText>
        </w:r>
        <w:r w:rsidR="002B0573" w:rsidRPr="002B0573">
          <w:rPr>
            <w:rFonts w:ascii="Arial" w:hAnsi="Arial"/>
            <w:noProof/>
            <w:webHidden/>
            <w:sz w:val="20"/>
            <w:szCs w:val="20"/>
          </w:rPr>
        </w:r>
        <w:r w:rsidR="002B0573" w:rsidRPr="002B0573">
          <w:rPr>
            <w:rFonts w:ascii="Arial" w:hAnsi="Arial"/>
            <w:noProof/>
            <w:webHidden/>
            <w:sz w:val="20"/>
            <w:szCs w:val="20"/>
          </w:rPr>
          <w:fldChar w:fldCharType="separate"/>
        </w:r>
        <w:r w:rsidR="002B0573" w:rsidRPr="002B0573">
          <w:rPr>
            <w:rFonts w:ascii="Arial" w:hAnsi="Arial"/>
            <w:noProof/>
            <w:webHidden/>
            <w:sz w:val="20"/>
            <w:szCs w:val="20"/>
          </w:rPr>
          <w:t>17</w:t>
        </w:r>
        <w:r w:rsidR="002B0573" w:rsidRPr="002B0573">
          <w:rPr>
            <w:rFonts w:ascii="Arial" w:hAnsi="Arial"/>
            <w:noProof/>
            <w:webHidden/>
            <w:sz w:val="20"/>
            <w:szCs w:val="20"/>
          </w:rPr>
          <w:fldChar w:fldCharType="end"/>
        </w:r>
      </w:hyperlink>
    </w:p>
    <w:p w:rsidR="002B0573" w:rsidRPr="002B0573" w:rsidRDefault="0039363A" w:rsidP="00F8568B">
      <w:pPr>
        <w:pStyle w:val="TOC1"/>
        <w:spacing w:after="120"/>
        <w:rPr>
          <w:rFonts w:ascii="Arial" w:eastAsiaTheme="minorEastAsia" w:hAnsi="Arial"/>
          <w:noProof/>
          <w:sz w:val="20"/>
          <w:szCs w:val="20"/>
          <w:lang w:eastAsia="en-ZA"/>
        </w:rPr>
      </w:pPr>
      <w:hyperlink w:anchor="_Toc466032384" w:history="1">
        <w:r w:rsidR="002B0573" w:rsidRPr="002B0573">
          <w:rPr>
            <w:rStyle w:val="Hyperlink"/>
            <w:rFonts w:ascii="Arial" w:eastAsia="MS Mincho" w:hAnsi="Arial"/>
            <w:b w:val="0"/>
            <w:noProof/>
            <w:sz w:val="20"/>
            <w:szCs w:val="20"/>
            <w:lang w:eastAsia="en-ZA"/>
          </w:rPr>
          <w:t>Reporting and Concluding</w:t>
        </w:r>
        <w:r w:rsidR="002B0573" w:rsidRPr="002B0573">
          <w:rPr>
            <w:rFonts w:ascii="Arial" w:hAnsi="Arial"/>
            <w:noProof/>
            <w:webHidden/>
            <w:sz w:val="20"/>
            <w:szCs w:val="20"/>
          </w:rPr>
          <w:tab/>
        </w:r>
        <w:r w:rsidR="002B0573" w:rsidRPr="002B0573">
          <w:rPr>
            <w:rFonts w:ascii="Arial" w:hAnsi="Arial"/>
            <w:noProof/>
            <w:webHidden/>
            <w:sz w:val="20"/>
            <w:szCs w:val="20"/>
          </w:rPr>
          <w:fldChar w:fldCharType="begin"/>
        </w:r>
        <w:r w:rsidR="002B0573" w:rsidRPr="002B0573">
          <w:rPr>
            <w:rFonts w:ascii="Arial" w:hAnsi="Arial"/>
            <w:noProof/>
            <w:webHidden/>
            <w:sz w:val="20"/>
            <w:szCs w:val="20"/>
          </w:rPr>
          <w:instrText xml:space="preserve"> PAGEREF _Toc466032384 \h </w:instrText>
        </w:r>
        <w:r w:rsidR="002B0573" w:rsidRPr="002B0573">
          <w:rPr>
            <w:rFonts w:ascii="Arial" w:hAnsi="Arial"/>
            <w:noProof/>
            <w:webHidden/>
            <w:sz w:val="20"/>
            <w:szCs w:val="20"/>
          </w:rPr>
        </w:r>
        <w:r w:rsidR="002B0573" w:rsidRPr="002B0573">
          <w:rPr>
            <w:rFonts w:ascii="Arial" w:hAnsi="Arial"/>
            <w:noProof/>
            <w:webHidden/>
            <w:sz w:val="20"/>
            <w:szCs w:val="20"/>
          </w:rPr>
          <w:fldChar w:fldCharType="separate"/>
        </w:r>
        <w:r w:rsidR="002B0573" w:rsidRPr="002B0573">
          <w:rPr>
            <w:rFonts w:ascii="Arial" w:hAnsi="Arial"/>
            <w:noProof/>
            <w:webHidden/>
            <w:sz w:val="20"/>
            <w:szCs w:val="20"/>
          </w:rPr>
          <w:t>17</w:t>
        </w:r>
        <w:r w:rsidR="002B0573" w:rsidRPr="002B0573">
          <w:rPr>
            <w:rFonts w:ascii="Arial" w:hAnsi="Arial"/>
            <w:noProof/>
            <w:webHidden/>
            <w:sz w:val="20"/>
            <w:szCs w:val="20"/>
          </w:rPr>
          <w:fldChar w:fldCharType="end"/>
        </w:r>
      </w:hyperlink>
    </w:p>
    <w:p w:rsidR="002B0573" w:rsidRPr="002B0573" w:rsidRDefault="0039363A" w:rsidP="00F8568B">
      <w:pPr>
        <w:pStyle w:val="TOC1"/>
        <w:spacing w:after="120"/>
        <w:rPr>
          <w:rFonts w:ascii="Arial" w:eastAsiaTheme="minorEastAsia" w:hAnsi="Arial"/>
          <w:noProof/>
          <w:sz w:val="20"/>
          <w:szCs w:val="20"/>
          <w:lang w:eastAsia="en-ZA"/>
        </w:rPr>
      </w:pPr>
      <w:hyperlink w:anchor="_Toc466032385" w:history="1">
        <w:r w:rsidR="002B0573" w:rsidRPr="002B0573">
          <w:rPr>
            <w:rStyle w:val="Hyperlink"/>
            <w:rFonts w:ascii="Arial" w:eastAsia="MS Mincho" w:hAnsi="Arial"/>
            <w:b w:val="0"/>
            <w:noProof/>
            <w:sz w:val="20"/>
            <w:szCs w:val="20"/>
            <w:lang w:eastAsia="en-ZA"/>
          </w:rPr>
          <w:t>CONCLUSION</w:t>
        </w:r>
        <w:r w:rsidR="002B0573" w:rsidRPr="002B0573">
          <w:rPr>
            <w:rFonts w:ascii="Arial" w:hAnsi="Arial"/>
            <w:noProof/>
            <w:webHidden/>
            <w:sz w:val="20"/>
            <w:szCs w:val="20"/>
          </w:rPr>
          <w:tab/>
        </w:r>
        <w:r w:rsidR="002B0573" w:rsidRPr="002B0573">
          <w:rPr>
            <w:rFonts w:ascii="Arial" w:hAnsi="Arial"/>
            <w:noProof/>
            <w:webHidden/>
            <w:sz w:val="20"/>
            <w:szCs w:val="20"/>
          </w:rPr>
          <w:fldChar w:fldCharType="begin"/>
        </w:r>
        <w:r w:rsidR="002B0573" w:rsidRPr="002B0573">
          <w:rPr>
            <w:rFonts w:ascii="Arial" w:hAnsi="Arial"/>
            <w:noProof/>
            <w:webHidden/>
            <w:sz w:val="20"/>
            <w:szCs w:val="20"/>
          </w:rPr>
          <w:instrText xml:space="preserve"> PAGEREF _Toc466032385 \h </w:instrText>
        </w:r>
        <w:r w:rsidR="002B0573" w:rsidRPr="002B0573">
          <w:rPr>
            <w:rFonts w:ascii="Arial" w:hAnsi="Arial"/>
            <w:noProof/>
            <w:webHidden/>
            <w:sz w:val="20"/>
            <w:szCs w:val="20"/>
          </w:rPr>
        </w:r>
        <w:r w:rsidR="002B0573" w:rsidRPr="002B0573">
          <w:rPr>
            <w:rFonts w:ascii="Arial" w:hAnsi="Arial"/>
            <w:noProof/>
            <w:webHidden/>
            <w:sz w:val="20"/>
            <w:szCs w:val="20"/>
          </w:rPr>
          <w:fldChar w:fldCharType="separate"/>
        </w:r>
        <w:r w:rsidR="002B0573" w:rsidRPr="002B0573">
          <w:rPr>
            <w:rFonts w:ascii="Arial" w:hAnsi="Arial"/>
            <w:noProof/>
            <w:webHidden/>
            <w:sz w:val="20"/>
            <w:szCs w:val="20"/>
          </w:rPr>
          <w:t>17</w:t>
        </w:r>
        <w:r w:rsidR="002B0573" w:rsidRPr="002B0573">
          <w:rPr>
            <w:rFonts w:ascii="Arial" w:hAnsi="Arial"/>
            <w:noProof/>
            <w:webHidden/>
            <w:sz w:val="20"/>
            <w:szCs w:val="20"/>
          </w:rPr>
          <w:fldChar w:fldCharType="end"/>
        </w:r>
      </w:hyperlink>
    </w:p>
    <w:p w:rsidR="002B0573" w:rsidRPr="002B0573" w:rsidRDefault="0039363A" w:rsidP="00F8568B">
      <w:pPr>
        <w:pStyle w:val="TOC1"/>
        <w:spacing w:after="120"/>
        <w:rPr>
          <w:rFonts w:ascii="Arial" w:eastAsiaTheme="minorEastAsia" w:hAnsi="Arial"/>
          <w:noProof/>
          <w:sz w:val="20"/>
          <w:szCs w:val="20"/>
          <w:lang w:eastAsia="en-ZA"/>
        </w:rPr>
      </w:pPr>
      <w:hyperlink w:anchor="_Toc466032386" w:history="1">
        <w:r w:rsidR="002B0573" w:rsidRPr="002B0573">
          <w:rPr>
            <w:rStyle w:val="Hyperlink"/>
            <w:rFonts w:ascii="Arial" w:eastAsia="MS Mincho" w:hAnsi="Arial"/>
            <w:b w:val="0"/>
            <w:noProof/>
            <w:sz w:val="20"/>
            <w:szCs w:val="20"/>
            <w:lang w:eastAsia="en-ZA"/>
          </w:rPr>
          <w:t>RECOMMENDATION</w:t>
        </w:r>
        <w:r w:rsidR="002B0573" w:rsidRPr="002B0573">
          <w:rPr>
            <w:rFonts w:ascii="Arial" w:hAnsi="Arial"/>
            <w:noProof/>
            <w:webHidden/>
            <w:sz w:val="20"/>
            <w:szCs w:val="20"/>
          </w:rPr>
          <w:tab/>
        </w:r>
        <w:r w:rsidR="002B0573" w:rsidRPr="002B0573">
          <w:rPr>
            <w:rFonts w:ascii="Arial" w:hAnsi="Arial"/>
            <w:noProof/>
            <w:webHidden/>
            <w:sz w:val="20"/>
            <w:szCs w:val="20"/>
          </w:rPr>
          <w:fldChar w:fldCharType="begin"/>
        </w:r>
        <w:r w:rsidR="002B0573" w:rsidRPr="002B0573">
          <w:rPr>
            <w:rFonts w:ascii="Arial" w:hAnsi="Arial"/>
            <w:noProof/>
            <w:webHidden/>
            <w:sz w:val="20"/>
            <w:szCs w:val="20"/>
          </w:rPr>
          <w:instrText xml:space="preserve"> PAGEREF _Toc466032386 \h </w:instrText>
        </w:r>
        <w:r w:rsidR="002B0573" w:rsidRPr="002B0573">
          <w:rPr>
            <w:rFonts w:ascii="Arial" w:hAnsi="Arial"/>
            <w:noProof/>
            <w:webHidden/>
            <w:sz w:val="20"/>
            <w:szCs w:val="20"/>
          </w:rPr>
        </w:r>
        <w:r w:rsidR="002B0573" w:rsidRPr="002B0573">
          <w:rPr>
            <w:rFonts w:ascii="Arial" w:hAnsi="Arial"/>
            <w:noProof/>
            <w:webHidden/>
            <w:sz w:val="20"/>
            <w:szCs w:val="20"/>
          </w:rPr>
          <w:fldChar w:fldCharType="separate"/>
        </w:r>
        <w:r w:rsidR="002B0573" w:rsidRPr="002B0573">
          <w:rPr>
            <w:rFonts w:ascii="Arial" w:hAnsi="Arial"/>
            <w:noProof/>
            <w:webHidden/>
            <w:sz w:val="20"/>
            <w:szCs w:val="20"/>
          </w:rPr>
          <w:t>18</w:t>
        </w:r>
        <w:r w:rsidR="002B0573" w:rsidRPr="002B0573">
          <w:rPr>
            <w:rFonts w:ascii="Arial" w:hAnsi="Arial"/>
            <w:noProof/>
            <w:webHidden/>
            <w:sz w:val="20"/>
            <w:szCs w:val="20"/>
          </w:rPr>
          <w:fldChar w:fldCharType="end"/>
        </w:r>
      </w:hyperlink>
    </w:p>
    <w:p w:rsidR="002B0573" w:rsidRPr="002B0573" w:rsidRDefault="0039363A" w:rsidP="00F8568B">
      <w:pPr>
        <w:pStyle w:val="TOC1"/>
        <w:spacing w:after="120"/>
        <w:rPr>
          <w:rFonts w:ascii="Arial" w:eastAsiaTheme="minorEastAsia" w:hAnsi="Arial"/>
          <w:noProof/>
          <w:sz w:val="20"/>
          <w:szCs w:val="20"/>
          <w:lang w:eastAsia="en-ZA"/>
        </w:rPr>
      </w:pPr>
      <w:hyperlink w:anchor="_Toc466032387" w:history="1">
        <w:r w:rsidR="002B0573" w:rsidRPr="002B0573">
          <w:rPr>
            <w:rStyle w:val="Hyperlink"/>
            <w:rFonts w:ascii="Arial" w:eastAsia="MS Mincho" w:hAnsi="Arial"/>
            <w:b w:val="0"/>
            <w:noProof/>
            <w:sz w:val="20"/>
            <w:szCs w:val="20"/>
            <w:lang w:eastAsia="en-ZA"/>
          </w:rPr>
          <w:t>SOURCES OF REFERENCE:</w:t>
        </w:r>
        <w:r w:rsidR="002B0573" w:rsidRPr="002B0573">
          <w:rPr>
            <w:rFonts w:ascii="Arial" w:hAnsi="Arial"/>
            <w:noProof/>
            <w:webHidden/>
            <w:sz w:val="20"/>
            <w:szCs w:val="20"/>
          </w:rPr>
          <w:tab/>
        </w:r>
        <w:r w:rsidR="002B0573" w:rsidRPr="002B0573">
          <w:rPr>
            <w:rFonts w:ascii="Arial" w:hAnsi="Arial"/>
            <w:noProof/>
            <w:webHidden/>
            <w:sz w:val="20"/>
            <w:szCs w:val="20"/>
          </w:rPr>
          <w:fldChar w:fldCharType="begin"/>
        </w:r>
        <w:r w:rsidR="002B0573" w:rsidRPr="002B0573">
          <w:rPr>
            <w:rFonts w:ascii="Arial" w:hAnsi="Arial"/>
            <w:noProof/>
            <w:webHidden/>
            <w:sz w:val="20"/>
            <w:szCs w:val="20"/>
          </w:rPr>
          <w:instrText xml:space="preserve"> PAGEREF _Toc466032387 \h </w:instrText>
        </w:r>
        <w:r w:rsidR="002B0573" w:rsidRPr="002B0573">
          <w:rPr>
            <w:rFonts w:ascii="Arial" w:hAnsi="Arial"/>
            <w:noProof/>
            <w:webHidden/>
            <w:sz w:val="20"/>
            <w:szCs w:val="20"/>
          </w:rPr>
        </w:r>
        <w:r w:rsidR="002B0573" w:rsidRPr="002B0573">
          <w:rPr>
            <w:rFonts w:ascii="Arial" w:hAnsi="Arial"/>
            <w:noProof/>
            <w:webHidden/>
            <w:sz w:val="20"/>
            <w:szCs w:val="20"/>
          </w:rPr>
          <w:fldChar w:fldCharType="separate"/>
        </w:r>
        <w:r w:rsidR="002B0573" w:rsidRPr="002B0573">
          <w:rPr>
            <w:rFonts w:ascii="Arial" w:hAnsi="Arial"/>
            <w:noProof/>
            <w:webHidden/>
            <w:sz w:val="20"/>
            <w:szCs w:val="20"/>
          </w:rPr>
          <w:t>18</w:t>
        </w:r>
        <w:r w:rsidR="002B0573" w:rsidRPr="002B0573">
          <w:rPr>
            <w:rFonts w:ascii="Arial" w:hAnsi="Arial"/>
            <w:noProof/>
            <w:webHidden/>
            <w:sz w:val="20"/>
            <w:szCs w:val="20"/>
          </w:rPr>
          <w:fldChar w:fldCharType="end"/>
        </w:r>
      </w:hyperlink>
    </w:p>
    <w:p w:rsidR="002B0573" w:rsidRPr="002B0573" w:rsidRDefault="0039363A" w:rsidP="00F8568B">
      <w:pPr>
        <w:pStyle w:val="TOC1"/>
        <w:spacing w:after="120"/>
        <w:rPr>
          <w:rFonts w:ascii="Arial" w:eastAsiaTheme="minorEastAsia" w:hAnsi="Arial"/>
          <w:noProof/>
          <w:sz w:val="20"/>
          <w:szCs w:val="20"/>
          <w:lang w:eastAsia="en-ZA"/>
        </w:rPr>
      </w:pPr>
      <w:hyperlink w:anchor="_Toc466032388" w:history="1">
        <w:r w:rsidR="002B0573" w:rsidRPr="002B0573">
          <w:rPr>
            <w:rStyle w:val="Hyperlink"/>
            <w:rFonts w:ascii="Arial" w:eastAsia="MS Mincho" w:hAnsi="Arial"/>
            <w:b w:val="0"/>
            <w:noProof/>
            <w:sz w:val="20"/>
            <w:szCs w:val="20"/>
            <w:lang w:eastAsia="en-ZA"/>
          </w:rPr>
          <w:t>ANNEXURE A:  SPECIFIC CONSIDERATION FOR THE ATTENTION OF THE INTERNAL AUDITOR IN PLANNING AUDIT ACTIVITIES</w:t>
        </w:r>
        <w:r w:rsidR="002B0573" w:rsidRPr="002B0573">
          <w:rPr>
            <w:rFonts w:ascii="Arial" w:hAnsi="Arial"/>
            <w:noProof/>
            <w:webHidden/>
            <w:sz w:val="20"/>
            <w:szCs w:val="20"/>
          </w:rPr>
          <w:tab/>
        </w:r>
        <w:r w:rsidR="002B0573" w:rsidRPr="002B0573">
          <w:rPr>
            <w:rFonts w:ascii="Arial" w:hAnsi="Arial"/>
            <w:noProof/>
            <w:webHidden/>
            <w:sz w:val="20"/>
            <w:szCs w:val="20"/>
          </w:rPr>
          <w:fldChar w:fldCharType="begin"/>
        </w:r>
        <w:r w:rsidR="002B0573" w:rsidRPr="002B0573">
          <w:rPr>
            <w:rFonts w:ascii="Arial" w:hAnsi="Arial"/>
            <w:noProof/>
            <w:webHidden/>
            <w:sz w:val="20"/>
            <w:szCs w:val="20"/>
          </w:rPr>
          <w:instrText xml:space="preserve"> PAGEREF _Toc466032388 \h </w:instrText>
        </w:r>
        <w:r w:rsidR="002B0573" w:rsidRPr="002B0573">
          <w:rPr>
            <w:rFonts w:ascii="Arial" w:hAnsi="Arial"/>
            <w:noProof/>
            <w:webHidden/>
            <w:sz w:val="20"/>
            <w:szCs w:val="20"/>
          </w:rPr>
        </w:r>
        <w:r w:rsidR="002B0573" w:rsidRPr="002B0573">
          <w:rPr>
            <w:rFonts w:ascii="Arial" w:hAnsi="Arial"/>
            <w:noProof/>
            <w:webHidden/>
            <w:sz w:val="20"/>
            <w:szCs w:val="20"/>
          </w:rPr>
          <w:fldChar w:fldCharType="separate"/>
        </w:r>
        <w:r w:rsidR="002B0573" w:rsidRPr="002B0573">
          <w:rPr>
            <w:rFonts w:ascii="Arial" w:hAnsi="Arial"/>
            <w:noProof/>
            <w:webHidden/>
            <w:sz w:val="20"/>
            <w:szCs w:val="20"/>
          </w:rPr>
          <w:t>19</w:t>
        </w:r>
        <w:r w:rsidR="002B0573" w:rsidRPr="002B0573">
          <w:rPr>
            <w:rFonts w:ascii="Arial" w:hAnsi="Arial"/>
            <w:noProof/>
            <w:webHidden/>
            <w:sz w:val="20"/>
            <w:szCs w:val="20"/>
          </w:rPr>
          <w:fldChar w:fldCharType="end"/>
        </w:r>
      </w:hyperlink>
    </w:p>
    <w:p w:rsidR="002B0573" w:rsidRPr="002B0573" w:rsidRDefault="0039363A" w:rsidP="00F8568B">
      <w:pPr>
        <w:pStyle w:val="TOC1"/>
        <w:spacing w:after="120"/>
        <w:rPr>
          <w:rFonts w:ascii="Arial" w:eastAsiaTheme="minorEastAsia" w:hAnsi="Arial"/>
          <w:noProof/>
          <w:sz w:val="20"/>
          <w:szCs w:val="20"/>
          <w:lang w:eastAsia="en-ZA"/>
        </w:rPr>
      </w:pPr>
      <w:hyperlink w:anchor="_Toc466032389" w:history="1">
        <w:r w:rsidR="002B0573" w:rsidRPr="002B0573">
          <w:rPr>
            <w:rStyle w:val="Hyperlink"/>
            <w:rFonts w:ascii="Arial" w:eastAsia="MS Mincho" w:hAnsi="Arial"/>
            <w:b w:val="0"/>
            <w:noProof/>
            <w:sz w:val="20"/>
            <w:szCs w:val="20"/>
            <w:lang w:eastAsia="en-ZA"/>
          </w:rPr>
          <w:t>ANNEXURE B - KEY CONCEPTS AND PRINCIPLES EXTRACTED FROM THE NATIONAL TREASURY INTERNAL AUDIT FRAMEWORK</w:t>
        </w:r>
        <w:r w:rsidR="002B0573" w:rsidRPr="002B0573">
          <w:rPr>
            <w:rFonts w:ascii="Arial" w:hAnsi="Arial"/>
            <w:noProof/>
            <w:webHidden/>
            <w:sz w:val="20"/>
            <w:szCs w:val="20"/>
          </w:rPr>
          <w:tab/>
        </w:r>
        <w:r w:rsidR="002B0573" w:rsidRPr="002B0573">
          <w:rPr>
            <w:rFonts w:ascii="Arial" w:hAnsi="Arial"/>
            <w:noProof/>
            <w:webHidden/>
            <w:sz w:val="20"/>
            <w:szCs w:val="20"/>
          </w:rPr>
          <w:fldChar w:fldCharType="begin"/>
        </w:r>
        <w:r w:rsidR="002B0573" w:rsidRPr="002B0573">
          <w:rPr>
            <w:rFonts w:ascii="Arial" w:hAnsi="Arial"/>
            <w:noProof/>
            <w:webHidden/>
            <w:sz w:val="20"/>
            <w:szCs w:val="20"/>
          </w:rPr>
          <w:instrText xml:space="preserve"> PAGEREF _Toc466032389 \h </w:instrText>
        </w:r>
        <w:r w:rsidR="002B0573" w:rsidRPr="002B0573">
          <w:rPr>
            <w:rFonts w:ascii="Arial" w:hAnsi="Arial"/>
            <w:noProof/>
            <w:webHidden/>
            <w:sz w:val="20"/>
            <w:szCs w:val="20"/>
          </w:rPr>
        </w:r>
        <w:r w:rsidR="002B0573" w:rsidRPr="002B0573">
          <w:rPr>
            <w:rFonts w:ascii="Arial" w:hAnsi="Arial"/>
            <w:noProof/>
            <w:webHidden/>
            <w:sz w:val="20"/>
            <w:szCs w:val="20"/>
          </w:rPr>
          <w:fldChar w:fldCharType="separate"/>
        </w:r>
        <w:r w:rsidR="002B0573" w:rsidRPr="002B0573">
          <w:rPr>
            <w:rFonts w:ascii="Arial" w:hAnsi="Arial"/>
            <w:noProof/>
            <w:webHidden/>
            <w:sz w:val="20"/>
            <w:szCs w:val="20"/>
          </w:rPr>
          <w:t>24</w:t>
        </w:r>
        <w:r w:rsidR="002B0573" w:rsidRPr="002B0573">
          <w:rPr>
            <w:rFonts w:ascii="Arial" w:hAnsi="Arial"/>
            <w:noProof/>
            <w:webHidden/>
            <w:sz w:val="20"/>
            <w:szCs w:val="20"/>
          </w:rPr>
          <w:fldChar w:fldCharType="end"/>
        </w:r>
      </w:hyperlink>
    </w:p>
    <w:p w:rsidR="002B0573" w:rsidRPr="002B0573" w:rsidRDefault="0039363A" w:rsidP="00F8568B">
      <w:pPr>
        <w:pStyle w:val="TOC1"/>
        <w:spacing w:after="120"/>
        <w:rPr>
          <w:rFonts w:ascii="Arial" w:eastAsiaTheme="minorEastAsia" w:hAnsi="Arial"/>
          <w:noProof/>
          <w:sz w:val="20"/>
          <w:szCs w:val="20"/>
          <w:lang w:eastAsia="en-ZA"/>
        </w:rPr>
      </w:pPr>
      <w:hyperlink w:anchor="_Toc466032401" w:history="1">
        <w:r w:rsidR="002B0573" w:rsidRPr="002B0573">
          <w:rPr>
            <w:rStyle w:val="Hyperlink"/>
            <w:rFonts w:ascii="Arial" w:eastAsia="MS Mincho" w:hAnsi="Arial"/>
            <w:b w:val="0"/>
            <w:noProof/>
            <w:sz w:val="20"/>
            <w:szCs w:val="20"/>
            <w:lang w:eastAsia="en-ZA"/>
          </w:rPr>
          <w:t>ANNEXURE C: COMMENTS AND QUERIES RECEIVED INFORMING THE PROBLEM STATEMENT</w:t>
        </w:r>
        <w:r w:rsidR="002B0573" w:rsidRPr="002B0573">
          <w:rPr>
            <w:rFonts w:ascii="Arial" w:hAnsi="Arial"/>
            <w:noProof/>
            <w:webHidden/>
            <w:sz w:val="20"/>
            <w:szCs w:val="20"/>
          </w:rPr>
          <w:tab/>
        </w:r>
        <w:r w:rsidR="002B0573" w:rsidRPr="002B0573">
          <w:rPr>
            <w:rFonts w:ascii="Arial" w:hAnsi="Arial"/>
            <w:noProof/>
            <w:webHidden/>
            <w:sz w:val="20"/>
            <w:szCs w:val="20"/>
          </w:rPr>
          <w:fldChar w:fldCharType="begin"/>
        </w:r>
        <w:r w:rsidR="002B0573" w:rsidRPr="002B0573">
          <w:rPr>
            <w:rFonts w:ascii="Arial" w:hAnsi="Arial"/>
            <w:noProof/>
            <w:webHidden/>
            <w:sz w:val="20"/>
            <w:szCs w:val="20"/>
          </w:rPr>
          <w:instrText xml:space="preserve"> PAGEREF _Toc466032401 \h </w:instrText>
        </w:r>
        <w:r w:rsidR="002B0573" w:rsidRPr="002B0573">
          <w:rPr>
            <w:rFonts w:ascii="Arial" w:hAnsi="Arial"/>
            <w:noProof/>
            <w:webHidden/>
            <w:sz w:val="20"/>
            <w:szCs w:val="20"/>
          </w:rPr>
        </w:r>
        <w:r w:rsidR="002B0573" w:rsidRPr="002B0573">
          <w:rPr>
            <w:rFonts w:ascii="Arial" w:hAnsi="Arial"/>
            <w:noProof/>
            <w:webHidden/>
            <w:sz w:val="20"/>
            <w:szCs w:val="20"/>
          </w:rPr>
          <w:fldChar w:fldCharType="separate"/>
        </w:r>
        <w:r w:rsidR="002B0573" w:rsidRPr="002B0573">
          <w:rPr>
            <w:rFonts w:ascii="Arial" w:hAnsi="Arial"/>
            <w:noProof/>
            <w:webHidden/>
            <w:sz w:val="20"/>
            <w:szCs w:val="20"/>
          </w:rPr>
          <w:t>28</w:t>
        </w:r>
        <w:r w:rsidR="002B0573" w:rsidRPr="002B0573">
          <w:rPr>
            <w:rFonts w:ascii="Arial" w:hAnsi="Arial"/>
            <w:noProof/>
            <w:webHidden/>
            <w:sz w:val="20"/>
            <w:szCs w:val="20"/>
          </w:rPr>
          <w:fldChar w:fldCharType="end"/>
        </w:r>
      </w:hyperlink>
    </w:p>
    <w:p w:rsidR="002B0573" w:rsidRPr="002B0573" w:rsidRDefault="0039363A" w:rsidP="00F8568B">
      <w:pPr>
        <w:pStyle w:val="TOC1"/>
        <w:spacing w:after="120"/>
        <w:rPr>
          <w:rFonts w:ascii="Arial" w:eastAsiaTheme="minorEastAsia" w:hAnsi="Arial"/>
          <w:noProof/>
          <w:sz w:val="20"/>
          <w:szCs w:val="20"/>
          <w:lang w:eastAsia="en-ZA"/>
        </w:rPr>
      </w:pPr>
      <w:hyperlink w:anchor="_Toc466032402" w:history="1">
        <w:r w:rsidR="002B0573" w:rsidRPr="002B0573">
          <w:rPr>
            <w:rStyle w:val="Hyperlink"/>
            <w:rFonts w:ascii="Arial" w:eastAsia="MS Mincho" w:hAnsi="Arial"/>
            <w:b w:val="0"/>
            <w:noProof/>
            <w:sz w:val="20"/>
            <w:szCs w:val="20"/>
            <w:lang w:eastAsia="en-ZA"/>
          </w:rPr>
          <w:t>ANNEXURE D - NATIONAL TREASURY DOCUMENTS TO BE REVISED FOLLOWING THE ADOPTION OF THIS POSITION PAPER</w:t>
        </w:r>
        <w:r w:rsidR="002B0573" w:rsidRPr="002B0573">
          <w:rPr>
            <w:rFonts w:ascii="Arial" w:hAnsi="Arial"/>
            <w:noProof/>
            <w:webHidden/>
            <w:sz w:val="20"/>
            <w:szCs w:val="20"/>
          </w:rPr>
          <w:tab/>
        </w:r>
        <w:r w:rsidR="002B0573" w:rsidRPr="002B0573">
          <w:rPr>
            <w:rFonts w:ascii="Arial" w:hAnsi="Arial"/>
            <w:noProof/>
            <w:webHidden/>
            <w:sz w:val="20"/>
            <w:szCs w:val="20"/>
          </w:rPr>
          <w:fldChar w:fldCharType="begin"/>
        </w:r>
        <w:r w:rsidR="002B0573" w:rsidRPr="002B0573">
          <w:rPr>
            <w:rFonts w:ascii="Arial" w:hAnsi="Arial"/>
            <w:noProof/>
            <w:webHidden/>
            <w:sz w:val="20"/>
            <w:szCs w:val="20"/>
          </w:rPr>
          <w:instrText xml:space="preserve"> PAGEREF _Toc466032402 \h </w:instrText>
        </w:r>
        <w:r w:rsidR="002B0573" w:rsidRPr="002B0573">
          <w:rPr>
            <w:rFonts w:ascii="Arial" w:hAnsi="Arial"/>
            <w:noProof/>
            <w:webHidden/>
            <w:sz w:val="20"/>
            <w:szCs w:val="20"/>
          </w:rPr>
        </w:r>
        <w:r w:rsidR="002B0573" w:rsidRPr="002B0573">
          <w:rPr>
            <w:rFonts w:ascii="Arial" w:hAnsi="Arial"/>
            <w:noProof/>
            <w:webHidden/>
            <w:sz w:val="20"/>
            <w:szCs w:val="20"/>
          </w:rPr>
          <w:fldChar w:fldCharType="separate"/>
        </w:r>
        <w:r w:rsidR="002B0573" w:rsidRPr="002B0573">
          <w:rPr>
            <w:rFonts w:ascii="Arial" w:hAnsi="Arial"/>
            <w:noProof/>
            <w:webHidden/>
            <w:sz w:val="20"/>
            <w:szCs w:val="20"/>
          </w:rPr>
          <w:t>32</w:t>
        </w:r>
        <w:r w:rsidR="002B0573" w:rsidRPr="002B0573">
          <w:rPr>
            <w:rFonts w:ascii="Arial" w:hAnsi="Arial"/>
            <w:noProof/>
            <w:webHidden/>
            <w:sz w:val="20"/>
            <w:szCs w:val="20"/>
          </w:rPr>
          <w:fldChar w:fldCharType="end"/>
        </w:r>
      </w:hyperlink>
    </w:p>
    <w:p w:rsidR="002B0573" w:rsidRPr="002B0573" w:rsidRDefault="0039363A" w:rsidP="00F8568B">
      <w:pPr>
        <w:pStyle w:val="TOC1"/>
        <w:spacing w:after="120"/>
        <w:rPr>
          <w:rFonts w:ascii="Arial" w:eastAsiaTheme="minorEastAsia" w:hAnsi="Arial"/>
          <w:noProof/>
          <w:sz w:val="20"/>
          <w:szCs w:val="20"/>
          <w:lang w:eastAsia="en-ZA"/>
        </w:rPr>
      </w:pPr>
      <w:hyperlink w:anchor="_Toc466032403" w:history="1">
        <w:r w:rsidR="002B0573" w:rsidRPr="002B0573">
          <w:rPr>
            <w:rStyle w:val="Hyperlink"/>
            <w:rFonts w:ascii="Arial" w:hAnsi="Arial"/>
            <w:b w:val="0"/>
            <w:noProof/>
            <w:sz w:val="20"/>
            <w:szCs w:val="20"/>
          </w:rPr>
          <w:t>National Treasury Internal Audit Framework (March 2009 2</w:t>
        </w:r>
        <w:r w:rsidR="002B0573" w:rsidRPr="002B0573">
          <w:rPr>
            <w:rStyle w:val="Hyperlink"/>
            <w:rFonts w:ascii="Arial" w:hAnsi="Arial"/>
            <w:b w:val="0"/>
            <w:noProof/>
            <w:sz w:val="20"/>
            <w:szCs w:val="20"/>
            <w:vertAlign w:val="superscript"/>
          </w:rPr>
          <w:t>nd</w:t>
        </w:r>
        <w:r w:rsidR="002B0573" w:rsidRPr="002B0573">
          <w:rPr>
            <w:rStyle w:val="Hyperlink"/>
            <w:rFonts w:ascii="Arial" w:hAnsi="Arial"/>
            <w:b w:val="0"/>
            <w:noProof/>
            <w:sz w:val="20"/>
            <w:szCs w:val="20"/>
          </w:rPr>
          <w:t xml:space="preserve"> Edition)</w:t>
        </w:r>
        <w:r w:rsidR="002B0573" w:rsidRPr="002B0573">
          <w:rPr>
            <w:rFonts w:ascii="Arial" w:hAnsi="Arial"/>
            <w:noProof/>
            <w:webHidden/>
            <w:sz w:val="20"/>
            <w:szCs w:val="20"/>
          </w:rPr>
          <w:tab/>
        </w:r>
        <w:r w:rsidR="002B0573" w:rsidRPr="002B0573">
          <w:rPr>
            <w:rFonts w:ascii="Arial" w:hAnsi="Arial"/>
            <w:noProof/>
            <w:webHidden/>
            <w:sz w:val="20"/>
            <w:szCs w:val="20"/>
          </w:rPr>
          <w:fldChar w:fldCharType="begin"/>
        </w:r>
        <w:r w:rsidR="002B0573" w:rsidRPr="002B0573">
          <w:rPr>
            <w:rFonts w:ascii="Arial" w:hAnsi="Arial"/>
            <w:noProof/>
            <w:webHidden/>
            <w:sz w:val="20"/>
            <w:szCs w:val="20"/>
          </w:rPr>
          <w:instrText xml:space="preserve"> PAGEREF _Toc466032403 \h </w:instrText>
        </w:r>
        <w:r w:rsidR="002B0573" w:rsidRPr="002B0573">
          <w:rPr>
            <w:rFonts w:ascii="Arial" w:hAnsi="Arial"/>
            <w:noProof/>
            <w:webHidden/>
            <w:sz w:val="20"/>
            <w:szCs w:val="20"/>
          </w:rPr>
        </w:r>
        <w:r w:rsidR="002B0573" w:rsidRPr="002B0573">
          <w:rPr>
            <w:rFonts w:ascii="Arial" w:hAnsi="Arial"/>
            <w:noProof/>
            <w:webHidden/>
            <w:sz w:val="20"/>
            <w:szCs w:val="20"/>
          </w:rPr>
          <w:fldChar w:fldCharType="separate"/>
        </w:r>
        <w:r w:rsidR="002B0573" w:rsidRPr="002B0573">
          <w:rPr>
            <w:rFonts w:ascii="Arial" w:hAnsi="Arial"/>
            <w:noProof/>
            <w:webHidden/>
            <w:sz w:val="20"/>
            <w:szCs w:val="20"/>
          </w:rPr>
          <w:t>32</w:t>
        </w:r>
        <w:r w:rsidR="002B0573" w:rsidRPr="002B0573">
          <w:rPr>
            <w:rFonts w:ascii="Arial" w:hAnsi="Arial"/>
            <w:noProof/>
            <w:webHidden/>
            <w:sz w:val="20"/>
            <w:szCs w:val="20"/>
          </w:rPr>
          <w:fldChar w:fldCharType="end"/>
        </w:r>
      </w:hyperlink>
    </w:p>
    <w:p w:rsidR="002B0573" w:rsidRDefault="002B0573" w:rsidP="00F8568B">
      <w:pPr>
        <w:numPr>
          <w:ilvl w:val="0"/>
          <w:numId w:val="0"/>
        </w:numPr>
        <w:spacing w:before="0" w:after="120"/>
        <w:ind w:right="0"/>
        <w:rPr>
          <w:rFonts w:asciiTheme="minorHAnsi" w:hAnsiTheme="minorHAnsi"/>
          <w:b/>
          <w:bCs/>
          <w:caps/>
          <w:sz w:val="20"/>
          <w:szCs w:val="20"/>
        </w:rPr>
      </w:pPr>
      <w:r w:rsidRPr="002B0573">
        <w:rPr>
          <w:rFonts w:ascii="Arial" w:hAnsi="Arial"/>
          <w:bCs/>
          <w:caps/>
          <w:sz w:val="20"/>
          <w:szCs w:val="20"/>
        </w:rPr>
        <w:fldChar w:fldCharType="end"/>
      </w:r>
      <w:r>
        <w:br w:type="page"/>
      </w:r>
    </w:p>
    <w:p w:rsidR="00674F71" w:rsidRDefault="00674F71" w:rsidP="002B0573">
      <w:pPr>
        <w:pStyle w:val="TOC1"/>
      </w:pPr>
    </w:p>
    <w:p w:rsidR="00160775" w:rsidRPr="00B56ED8" w:rsidRDefault="002B0573" w:rsidP="00B56ED8">
      <w:pPr>
        <w:pStyle w:val="Heading2"/>
        <w:keepNext w:val="0"/>
        <w:keepLines w:val="0"/>
        <w:suppressAutoHyphens/>
        <w:autoSpaceDN w:val="0"/>
        <w:spacing w:before="240" w:after="240"/>
        <w:ind w:left="284" w:right="0" w:hanging="284"/>
        <w:textAlignment w:val="baseline"/>
        <w:rPr>
          <w:rFonts w:ascii="Arial" w:eastAsia="MS Mincho" w:hAnsi="Arial" w:cs="Arial"/>
          <w:bCs w:val="0"/>
          <w:color w:val="auto"/>
          <w:szCs w:val="24"/>
          <w:lang w:eastAsia="en-ZA"/>
        </w:rPr>
      </w:pPr>
      <w:bookmarkStart w:id="0" w:name="_Toc466031753"/>
      <w:bookmarkStart w:id="1" w:name="_Toc466031894"/>
      <w:bookmarkStart w:id="2" w:name="_Toc466032366"/>
      <w:r>
        <w:rPr>
          <w:rFonts w:ascii="Arial" w:eastAsia="MS Mincho" w:hAnsi="Arial" w:cs="Arial"/>
          <w:bCs w:val="0"/>
          <w:color w:val="auto"/>
          <w:szCs w:val="24"/>
          <w:lang w:eastAsia="en-ZA"/>
        </w:rPr>
        <w:t>BA</w:t>
      </w:r>
      <w:r w:rsidR="003C29A7" w:rsidRPr="00B56ED8">
        <w:rPr>
          <w:rFonts w:ascii="Arial" w:eastAsia="MS Mincho" w:hAnsi="Arial" w:cs="Arial"/>
          <w:bCs w:val="0"/>
          <w:color w:val="auto"/>
          <w:szCs w:val="24"/>
          <w:lang w:eastAsia="en-ZA"/>
        </w:rPr>
        <w:t>CKGROUND</w:t>
      </w:r>
      <w:bookmarkEnd w:id="0"/>
      <w:bookmarkEnd w:id="1"/>
      <w:bookmarkEnd w:id="2"/>
    </w:p>
    <w:p w:rsidR="00160775" w:rsidRPr="008C2F0B" w:rsidRDefault="00F02A90" w:rsidP="00B13D45">
      <w:pPr>
        <w:jc w:val="both"/>
      </w:pPr>
      <w:r w:rsidRPr="00FA2FD7">
        <w:t xml:space="preserve">In the opinion of National </w:t>
      </w:r>
      <w:r w:rsidR="008A7AE3" w:rsidRPr="00F8558A">
        <w:t>Treasury,</w:t>
      </w:r>
      <w:r w:rsidRPr="00F8558A">
        <w:t xml:space="preserve"> the mSCOA Regulation introduce more than only a financial reform but a </w:t>
      </w:r>
      <w:r w:rsidR="00B23C3A" w:rsidRPr="00F8558A">
        <w:t>significant</w:t>
      </w:r>
      <w:r w:rsidRPr="00F8558A">
        <w:t xml:space="preserve"> change in municipal business process</w:t>
      </w:r>
      <w:r w:rsidR="0040296C" w:rsidRPr="00F8558A">
        <w:t>es</w:t>
      </w:r>
      <w:r w:rsidRPr="00F8558A">
        <w:t xml:space="preserve"> and become</w:t>
      </w:r>
      <w:r w:rsidR="00574265">
        <w:t>s</w:t>
      </w:r>
      <w:r w:rsidRPr="00F8558A">
        <w:t xml:space="preserve"> an instrument facilitating organisational </w:t>
      </w:r>
      <w:r w:rsidR="00154C56" w:rsidRPr="00F8558A">
        <w:t>change involving more than only financial and budget orientated practi</w:t>
      </w:r>
      <w:r w:rsidR="003C0B63" w:rsidRPr="00F8558A">
        <w:t>ti</w:t>
      </w:r>
      <w:r w:rsidR="00154C56" w:rsidRPr="00F8558A">
        <w:t xml:space="preserve">oners.  The mSCOA implementation is considered to be a system conversion </w:t>
      </w:r>
      <w:r w:rsidR="0040296C" w:rsidRPr="00F8558A">
        <w:t xml:space="preserve">and/or reimplementation </w:t>
      </w:r>
      <w:r w:rsidR="00154C56" w:rsidRPr="00F8558A">
        <w:t xml:space="preserve">with all the </w:t>
      </w:r>
      <w:r w:rsidR="00354E59" w:rsidRPr="00F8558A">
        <w:t xml:space="preserve">major </w:t>
      </w:r>
      <w:r w:rsidR="00154C56" w:rsidRPr="00F8558A">
        <w:t>risk</w:t>
      </w:r>
      <w:r w:rsidR="00354E59" w:rsidRPr="00F8558A">
        <w:t>s</w:t>
      </w:r>
      <w:r w:rsidR="00154C56" w:rsidRPr="00811136">
        <w:t xml:space="preserve"> typically associated</w:t>
      </w:r>
      <w:r w:rsidR="00574265">
        <w:t xml:space="preserve"> with a system</w:t>
      </w:r>
      <w:r w:rsidR="00154C56" w:rsidRPr="00811136">
        <w:t>.</w:t>
      </w:r>
    </w:p>
    <w:p w:rsidR="008A7AE3" w:rsidRPr="00F8558A" w:rsidRDefault="008A7AE3" w:rsidP="007E067D">
      <w:pPr>
        <w:shd w:val="clear" w:color="auto" w:fill="FFFFFF"/>
        <w:jc w:val="both"/>
      </w:pPr>
      <w:r w:rsidRPr="00F8558A">
        <w:t>Questions had been raised since the inception of the mSCOA Project on the role, responsibility and involvement of the municipalities</w:t>
      </w:r>
      <w:r w:rsidR="00686AB5">
        <w:t>’</w:t>
      </w:r>
      <w:r w:rsidRPr="00F8558A">
        <w:t xml:space="preserve"> risk management units and the internal auditors.  </w:t>
      </w:r>
    </w:p>
    <w:p w:rsidR="00087BDB" w:rsidRPr="00F8558A" w:rsidRDefault="000E2A65" w:rsidP="007E067D">
      <w:pPr>
        <w:shd w:val="clear" w:color="auto" w:fill="FFFFFF"/>
        <w:jc w:val="both"/>
      </w:pPr>
      <w:r w:rsidRPr="00F8558A">
        <w:t>This position paper focus</w:t>
      </w:r>
      <w:r w:rsidR="000801CD">
        <w:t>es</w:t>
      </w:r>
      <w:r w:rsidRPr="00F8558A">
        <w:t xml:space="preserve"> on internal audit activities </w:t>
      </w:r>
      <w:r w:rsidR="007E3CED" w:rsidRPr="00F8558A">
        <w:t xml:space="preserve">specific </w:t>
      </w:r>
      <w:r w:rsidR="000801CD">
        <w:t>to</w:t>
      </w:r>
      <w:r w:rsidR="000801CD" w:rsidRPr="00F8558A">
        <w:t xml:space="preserve"> </w:t>
      </w:r>
      <w:r w:rsidR="007E3CED" w:rsidRPr="00F8558A">
        <w:t>the mSCOA Project implementation</w:t>
      </w:r>
      <w:r w:rsidR="00087BDB" w:rsidRPr="00F8558A">
        <w:t xml:space="preserve"> at pilot and non-piloting municipalities.  The use of this document is broader than only internal auditors</w:t>
      </w:r>
      <w:r w:rsidR="00C47E65">
        <w:t>,</w:t>
      </w:r>
      <w:r w:rsidR="00087BDB" w:rsidRPr="00F8558A">
        <w:t xml:space="preserve"> thus includes more explanation on concepts and principles internal auditors should be familiar with.  </w:t>
      </w:r>
      <w:r w:rsidR="00FA2FD7" w:rsidRPr="00F8558A">
        <w:t xml:space="preserve"> Please refer to Annexure A for explanations on terminology and concept</w:t>
      </w:r>
      <w:r w:rsidR="00C47E65">
        <w:t>s</w:t>
      </w:r>
      <w:r w:rsidR="00FA2FD7" w:rsidRPr="00F8558A">
        <w:t xml:space="preserve"> used in the content.  </w:t>
      </w:r>
    </w:p>
    <w:p w:rsidR="00FB3514" w:rsidRDefault="000E2A65" w:rsidP="00B13D45">
      <w:pPr>
        <w:jc w:val="both"/>
      </w:pPr>
      <w:r w:rsidRPr="00811136">
        <w:t>The Internal Audit Framework issued by National Treasury i</w:t>
      </w:r>
      <w:r w:rsidRPr="008C2F0B">
        <w:t xml:space="preserve">n March 2009 </w:t>
      </w:r>
      <w:r w:rsidRPr="001B14B7">
        <w:t xml:space="preserve">comprehensively </w:t>
      </w:r>
      <w:r w:rsidR="00FB3514" w:rsidRPr="00FA2FD7">
        <w:t>deals with the minimum</w:t>
      </w:r>
      <w:r w:rsidR="004659D6" w:rsidRPr="00FA2FD7">
        <w:t xml:space="preserve"> requirements in complying with t</w:t>
      </w:r>
      <w:r w:rsidR="00FB3514" w:rsidRPr="00FA2FD7">
        <w:t>he Constitution of the Republic of South Africa</w:t>
      </w:r>
      <w:r w:rsidR="00E50A2A">
        <w:t>;</w:t>
      </w:r>
      <w:r w:rsidR="004659D6" w:rsidRPr="00FA2FD7">
        <w:t xml:space="preserve"> </w:t>
      </w:r>
      <w:r w:rsidR="004659D6" w:rsidRPr="00F8558A">
        <w:t>t</w:t>
      </w:r>
      <w:r w:rsidR="00FB3514" w:rsidRPr="00F8558A">
        <w:t>he Municipal Finance Management Act No</w:t>
      </w:r>
      <w:r w:rsidR="00383964">
        <w:t xml:space="preserve"> </w:t>
      </w:r>
      <w:r w:rsidR="00FB3514" w:rsidRPr="00F8558A">
        <w:t>56 of 2003</w:t>
      </w:r>
      <w:r w:rsidR="00E50A2A">
        <w:t>;</w:t>
      </w:r>
      <w:r w:rsidR="004659D6" w:rsidRPr="00F8558A">
        <w:t xml:space="preserve"> </w:t>
      </w:r>
      <w:r w:rsidR="00FB3514" w:rsidRPr="00F8558A">
        <w:t>The Institute of Internal Auditors’(IIA) International Standards for the Professional Practice of Internal Auditing (ISPPIA)</w:t>
      </w:r>
      <w:r w:rsidR="00E50A2A">
        <w:t>;</w:t>
      </w:r>
      <w:r w:rsidR="004659D6" w:rsidRPr="00F8558A">
        <w:t xml:space="preserve"> and</w:t>
      </w:r>
      <w:r w:rsidR="00E50A2A">
        <w:t>,</w:t>
      </w:r>
      <w:r w:rsidR="004659D6" w:rsidRPr="00F8558A">
        <w:t xml:space="preserve"> t</w:t>
      </w:r>
      <w:r w:rsidR="00FB3514" w:rsidRPr="00F8558A">
        <w:t xml:space="preserve">he </w:t>
      </w:r>
      <w:hyperlink r:id="rId12" w:tgtFrame="_blank" w:history="1">
        <w:r w:rsidR="00AD0FB9" w:rsidRPr="00F8558A">
          <w:t>Committee of Sponsoring Organizations of the Treadway Commission</w:t>
        </w:r>
      </w:hyperlink>
      <w:r w:rsidR="00AD0FB9" w:rsidRPr="00F8558A">
        <w:t xml:space="preserve"> </w:t>
      </w:r>
      <w:r w:rsidR="00A87A67" w:rsidRPr="00811136">
        <w:t>(</w:t>
      </w:r>
      <w:r w:rsidR="00FB3514" w:rsidRPr="00F8558A">
        <w:t>COSO</w:t>
      </w:r>
      <w:r w:rsidR="00A87A67" w:rsidRPr="00811136">
        <w:t>)</w:t>
      </w:r>
      <w:r w:rsidR="00FB3514" w:rsidRPr="00F8558A">
        <w:t xml:space="preserve"> framework on internal control</w:t>
      </w:r>
      <w:r w:rsidR="00E50A2A">
        <w:t>;</w:t>
      </w:r>
      <w:r w:rsidR="00FB3514" w:rsidRPr="00F8558A">
        <w:t xml:space="preserve"> as well as the risk management</w:t>
      </w:r>
      <w:r w:rsidR="00FB3514" w:rsidRPr="00811136">
        <w:t xml:space="preserve"> </w:t>
      </w:r>
      <w:r w:rsidR="00FB3514" w:rsidRPr="00F8558A">
        <w:t>framework</w:t>
      </w:r>
      <w:r w:rsidR="00810A47">
        <w:t>.</w:t>
      </w:r>
    </w:p>
    <w:p w:rsidR="00EE28FC" w:rsidRDefault="00AC2E83" w:rsidP="00B13D45">
      <w:pPr>
        <w:jc w:val="both"/>
      </w:pPr>
      <w:r w:rsidRPr="00DE7E00">
        <w:t xml:space="preserve">Internal </w:t>
      </w:r>
      <w:r w:rsidR="00623121">
        <w:t>a</w:t>
      </w:r>
      <w:r w:rsidRPr="00DE7E00">
        <w:t>udit is well positioned to add value to the conversion and</w:t>
      </w:r>
      <w:r w:rsidR="00EE28FC">
        <w:t>/</w:t>
      </w:r>
      <w:r w:rsidRPr="00DE7E00">
        <w:t>or re-implementation process and it should play a vital role in project assurance and governance.</w:t>
      </w:r>
      <w:r w:rsidR="00623121">
        <w:t xml:space="preserve"> </w:t>
      </w:r>
      <w:r w:rsidRPr="00DE7E00">
        <w:t xml:space="preserve"> </w:t>
      </w:r>
      <w:r w:rsidR="005C02D2">
        <w:t>Effective contribution from internal audit require</w:t>
      </w:r>
      <w:r w:rsidR="00644D7D">
        <w:t>s</w:t>
      </w:r>
      <w:r w:rsidR="005C02D2">
        <w:t xml:space="preserve"> </w:t>
      </w:r>
      <w:r w:rsidR="00D62104">
        <w:t xml:space="preserve">assessment </w:t>
      </w:r>
      <w:r w:rsidR="005C02D2">
        <w:t xml:space="preserve">and refinement of its </w:t>
      </w:r>
      <w:r w:rsidRPr="00DE7E00">
        <w:t>capabilities</w:t>
      </w:r>
      <w:r w:rsidR="00010887">
        <w:t>;</w:t>
      </w:r>
      <w:r w:rsidRPr="00DE7E00">
        <w:t xml:space="preserve"> and</w:t>
      </w:r>
      <w:r w:rsidR="00010887">
        <w:t>,</w:t>
      </w:r>
      <w:r w:rsidRPr="00DE7E00">
        <w:t xml:space="preserve"> partner</w:t>
      </w:r>
      <w:r w:rsidR="00644D7D">
        <w:t>ship</w:t>
      </w:r>
      <w:r w:rsidR="00BB53BD">
        <w:t>s</w:t>
      </w:r>
      <w:r w:rsidRPr="00DE7E00">
        <w:t xml:space="preserve"> with business units, the senior executive team and the audit committee.</w:t>
      </w:r>
      <w:r w:rsidR="00623121">
        <w:t xml:space="preserve">  </w:t>
      </w:r>
      <w:r w:rsidRPr="00DE7E00">
        <w:t xml:space="preserve"> </w:t>
      </w:r>
    </w:p>
    <w:p w:rsidR="00AC2E83" w:rsidRPr="00DE7E00" w:rsidRDefault="00AC2E83" w:rsidP="00B13D45">
      <w:pPr>
        <w:jc w:val="both"/>
      </w:pPr>
      <w:r w:rsidRPr="00DE7E00">
        <w:t xml:space="preserve">Internal </w:t>
      </w:r>
      <w:r w:rsidR="00EE28FC">
        <w:t>A</w:t>
      </w:r>
      <w:r w:rsidRPr="00DE7E00">
        <w:t>udit can help identify project risks early in the project lifecycle, which in turn will provide the municipality with sufficient time to course</w:t>
      </w:r>
      <w:r w:rsidR="00281F27">
        <w:rPr>
          <w:color w:val="FF0000"/>
        </w:rPr>
        <w:t>-</w:t>
      </w:r>
      <w:r w:rsidRPr="00DE7E00">
        <w:t>correct and help obtain maximum value from the conversion and</w:t>
      </w:r>
      <w:r w:rsidR="00EE28FC">
        <w:t>/</w:t>
      </w:r>
      <w:r w:rsidRPr="00DE7E00">
        <w:t>or re-implementation of the system.</w:t>
      </w:r>
    </w:p>
    <w:p w:rsidR="00AC2E83" w:rsidRPr="00DE7E00" w:rsidRDefault="00AC2E83" w:rsidP="00B13D45">
      <w:pPr>
        <w:jc w:val="both"/>
      </w:pPr>
      <w:r w:rsidRPr="00DE7E00">
        <w:t xml:space="preserve">The </w:t>
      </w:r>
      <w:r w:rsidR="00623121">
        <w:t xml:space="preserve">primary role of the internal audit entails </w:t>
      </w:r>
      <w:r w:rsidRPr="00DE7E00">
        <w:t>evaluation of processes, people, technology</w:t>
      </w:r>
      <w:r w:rsidR="00EE28FC">
        <w:t>, monitoring of the conversion/</w:t>
      </w:r>
      <w:r w:rsidRPr="00DE7E00">
        <w:t>re-implementation, ris</w:t>
      </w:r>
      <w:r w:rsidR="00EE28FC">
        <w:t>k management and communication/education/</w:t>
      </w:r>
      <w:r w:rsidRPr="00DE7E00">
        <w:t xml:space="preserve">training.  Furthermore, </w:t>
      </w:r>
      <w:r w:rsidR="00EE28FC">
        <w:t xml:space="preserve">internal audit </w:t>
      </w:r>
      <w:r w:rsidRPr="00DE7E00">
        <w:t>i</w:t>
      </w:r>
      <w:r w:rsidR="00EE28FC">
        <w:t>s able to add value by prioritis</w:t>
      </w:r>
      <w:r w:rsidRPr="00DE7E00">
        <w:t>ing needed changes or desired improvements.</w:t>
      </w:r>
      <w:r w:rsidR="00EE28FC">
        <w:t xml:space="preserve"> </w:t>
      </w:r>
      <w:r w:rsidRPr="00DE7E00">
        <w:t xml:space="preserve"> Ultimately, ma</w:t>
      </w:r>
      <w:r w:rsidR="00EE28FC">
        <w:t>nagement “owns” the conversion/</w:t>
      </w:r>
      <w:r w:rsidRPr="00DE7E00">
        <w:t>re-implementation</w:t>
      </w:r>
      <w:r w:rsidR="00EE28FC">
        <w:t xml:space="preserve"> with internal audit as a </w:t>
      </w:r>
      <w:r w:rsidRPr="00DE7E00">
        <w:t>strong partner.</w:t>
      </w:r>
    </w:p>
    <w:p w:rsidR="00393494" w:rsidRPr="005606A3" w:rsidRDefault="005C02D2" w:rsidP="00B13D45">
      <w:pPr>
        <w:jc w:val="both"/>
      </w:pPr>
      <w:r>
        <w:t xml:space="preserve">Covered in the position papers is the role of the internal </w:t>
      </w:r>
      <w:r w:rsidR="00393494" w:rsidRPr="005606A3">
        <w:t xml:space="preserve">auditors </w:t>
      </w:r>
      <w:r>
        <w:t>in bringing va</w:t>
      </w:r>
      <w:r w:rsidR="00393494" w:rsidRPr="005606A3">
        <w:t xml:space="preserve">lue to </w:t>
      </w:r>
      <w:r>
        <w:t xml:space="preserve">the </w:t>
      </w:r>
      <w:r w:rsidR="00393494" w:rsidRPr="005606A3">
        <w:t xml:space="preserve">municipality by evaluating both the information technology (IT) and </w:t>
      </w:r>
      <w:r w:rsidR="002F3036">
        <w:t>/</w:t>
      </w:r>
      <w:r w:rsidR="00393494" w:rsidRPr="005606A3">
        <w:t xml:space="preserve">organisational aspects of system conversation projects.  Auditing these conversions </w:t>
      </w:r>
      <w:r w:rsidR="00393494" w:rsidRPr="005606A3">
        <w:lastRenderedPageBreak/>
        <w:t xml:space="preserve">provides assurance to management and the council that “all that can be done is being done”.  </w:t>
      </w:r>
    </w:p>
    <w:p w:rsidR="00393494" w:rsidRDefault="00393494" w:rsidP="00B13D45">
      <w:pPr>
        <w:jc w:val="both"/>
      </w:pPr>
      <w:r w:rsidRPr="005606A3">
        <w:t xml:space="preserve">The role of </w:t>
      </w:r>
      <w:r w:rsidRPr="00552BD5">
        <w:t>Internal Audit will differ per</w:t>
      </w:r>
      <w:r>
        <w:t xml:space="preserve"> </w:t>
      </w:r>
      <w:r w:rsidRPr="00552BD5">
        <w:t>m</w:t>
      </w:r>
      <w:r w:rsidRPr="005606A3">
        <w:t>unicipality according to the size, complexity and needs of the municipality. Therefore, some of the content might not be relevant or applicable to all municipalities. The Internal Audit departments will still need to apply the IIA Standards in their advisory</w:t>
      </w:r>
      <w:r w:rsidR="0018483E">
        <w:t>-</w:t>
      </w:r>
      <w:r w:rsidRPr="005606A3">
        <w:t xml:space="preserve"> or assurance provider capacity.   </w:t>
      </w:r>
    </w:p>
    <w:p w:rsidR="00A87A67" w:rsidRPr="00B56ED8" w:rsidRDefault="00A87A67" w:rsidP="00B56ED8">
      <w:pPr>
        <w:pStyle w:val="Heading2"/>
        <w:keepNext w:val="0"/>
        <w:keepLines w:val="0"/>
        <w:suppressAutoHyphens/>
        <w:autoSpaceDN w:val="0"/>
        <w:spacing w:before="240" w:after="240"/>
        <w:ind w:left="284" w:right="0" w:hanging="284"/>
        <w:textAlignment w:val="baseline"/>
        <w:rPr>
          <w:rFonts w:ascii="Arial" w:eastAsia="MS Mincho" w:hAnsi="Arial" w:cs="Arial"/>
          <w:bCs w:val="0"/>
          <w:color w:val="auto"/>
          <w:szCs w:val="24"/>
          <w:lang w:eastAsia="en-ZA"/>
        </w:rPr>
      </w:pPr>
      <w:bookmarkStart w:id="3" w:name="_Toc466031754"/>
      <w:bookmarkStart w:id="4" w:name="_Toc466031895"/>
      <w:bookmarkStart w:id="5" w:name="_Toc466032367"/>
      <w:r w:rsidRPr="00B56ED8">
        <w:rPr>
          <w:rFonts w:ascii="Arial" w:eastAsia="MS Mincho" w:hAnsi="Arial" w:cs="Arial"/>
          <w:bCs w:val="0"/>
          <w:color w:val="auto"/>
          <w:szCs w:val="24"/>
          <w:lang w:eastAsia="en-ZA"/>
        </w:rPr>
        <w:t>LEGISLATIVE REQUIREMENTS</w:t>
      </w:r>
      <w:bookmarkEnd w:id="3"/>
      <w:bookmarkEnd w:id="4"/>
      <w:bookmarkEnd w:id="5"/>
    </w:p>
    <w:p w:rsidR="00354E59" w:rsidRDefault="00354E59" w:rsidP="00B13D45">
      <w:pPr>
        <w:jc w:val="both"/>
      </w:pPr>
      <w:r>
        <w:t>The Local Government:  Municipal Finance Management Act (No 56 of 2003) section 165 requires that each municipality</w:t>
      </w:r>
      <w:r w:rsidR="00BD645D">
        <w:t xml:space="preserve">/municipal entity </w:t>
      </w:r>
      <w:r>
        <w:t xml:space="preserve">must have an internal audit unit.  In addition, the responsibilities prescribed by this act indicates that the internal </w:t>
      </w:r>
      <w:r w:rsidR="00036320">
        <w:t>audit unit of a municipality or municipal entity must:</w:t>
      </w:r>
    </w:p>
    <w:p w:rsidR="00036320" w:rsidRPr="008C2F0B" w:rsidRDefault="00036320" w:rsidP="00B13D45">
      <w:pPr>
        <w:pStyle w:val="StyleListParagraphBefore6ptAfter6pt"/>
        <w:jc w:val="both"/>
      </w:pPr>
      <w:r w:rsidRPr="00811136">
        <w:t>p</w:t>
      </w:r>
      <w:r w:rsidRPr="008C2F0B">
        <w:t>repare a risk-based audit plan and an internal audit program for each financial year;</w:t>
      </w:r>
    </w:p>
    <w:p w:rsidR="00036320" w:rsidRPr="00FA2FD7" w:rsidRDefault="00036320" w:rsidP="00B13D45">
      <w:pPr>
        <w:pStyle w:val="StyleListParagraphBefore6ptAfter6pt"/>
        <w:jc w:val="both"/>
      </w:pPr>
      <w:r w:rsidRPr="001B14B7">
        <w:t>advise the accounting officer and report to the audit committee on the implementation of the internal audit plan and matters re</w:t>
      </w:r>
      <w:r w:rsidRPr="00FA2FD7">
        <w:t>lating to:</w:t>
      </w:r>
    </w:p>
    <w:p w:rsidR="00036320" w:rsidRDefault="00036320" w:rsidP="00B13D45">
      <w:pPr>
        <w:pStyle w:val="ListParagraph"/>
        <w:numPr>
          <w:ilvl w:val="3"/>
          <w:numId w:val="39"/>
        </w:numPr>
        <w:jc w:val="both"/>
      </w:pPr>
      <w:r>
        <w:t>internal audit;</w:t>
      </w:r>
    </w:p>
    <w:p w:rsidR="00036320" w:rsidRDefault="00036320" w:rsidP="00B13D45">
      <w:pPr>
        <w:pStyle w:val="ListParagraph"/>
        <w:numPr>
          <w:ilvl w:val="3"/>
          <w:numId w:val="39"/>
        </w:numPr>
        <w:jc w:val="both"/>
      </w:pPr>
      <w:r>
        <w:t>internal controls;</w:t>
      </w:r>
    </w:p>
    <w:p w:rsidR="00036320" w:rsidRDefault="00036320" w:rsidP="00B13D45">
      <w:pPr>
        <w:pStyle w:val="ListParagraph"/>
        <w:numPr>
          <w:ilvl w:val="3"/>
          <w:numId w:val="39"/>
        </w:numPr>
        <w:jc w:val="both"/>
      </w:pPr>
      <w:r>
        <w:t>accounting procedures and practices;</w:t>
      </w:r>
    </w:p>
    <w:p w:rsidR="00036320" w:rsidRDefault="00036320" w:rsidP="00B13D45">
      <w:pPr>
        <w:pStyle w:val="ListParagraph"/>
        <w:numPr>
          <w:ilvl w:val="3"/>
          <w:numId w:val="39"/>
        </w:numPr>
        <w:jc w:val="both"/>
      </w:pPr>
      <w:r>
        <w:t>risk and risk management;</w:t>
      </w:r>
    </w:p>
    <w:p w:rsidR="00036320" w:rsidRDefault="00036320" w:rsidP="00B13D45">
      <w:pPr>
        <w:pStyle w:val="ListParagraph"/>
        <w:numPr>
          <w:ilvl w:val="3"/>
          <w:numId w:val="39"/>
        </w:numPr>
        <w:jc w:val="both"/>
      </w:pPr>
      <w:r>
        <w:t>performance management;</w:t>
      </w:r>
    </w:p>
    <w:p w:rsidR="00036320" w:rsidRDefault="00036320" w:rsidP="00B13D45">
      <w:pPr>
        <w:pStyle w:val="ListParagraph"/>
        <w:numPr>
          <w:ilvl w:val="3"/>
          <w:numId w:val="39"/>
        </w:numPr>
        <w:jc w:val="both"/>
      </w:pPr>
      <w:r>
        <w:t>loss control;</w:t>
      </w:r>
    </w:p>
    <w:p w:rsidR="00036320" w:rsidRDefault="00036320" w:rsidP="00B13D45">
      <w:pPr>
        <w:pStyle w:val="ListParagraph"/>
        <w:numPr>
          <w:ilvl w:val="3"/>
          <w:numId w:val="39"/>
        </w:numPr>
        <w:jc w:val="both"/>
      </w:pPr>
      <w:r>
        <w:t>compliance with this Act, the annual Division of Revenue Act and other applicable legislation; and</w:t>
      </w:r>
    </w:p>
    <w:p w:rsidR="00036320" w:rsidRDefault="00036320" w:rsidP="00B13D45">
      <w:pPr>
        <w:pStyle w:val="ListParagraph"/>
        <w:numPr>
          <w:ilvl w:val="3"/>
          <w:numId w:val="39"/>
        </w:numPr>
        <w:jc w:val="both"/>
      </w:pPr>
      <w:proofErr w:type="gramStart"/>
      <w:r>
        <w:t>perform</w:t>
      </w:r>
      <w:proofErr w:type="gramEnd"/>
      <w:r>
        <w:t xml:space="preserve"> such other duties as may be assigned to it by the accounting officer.  </w:t>
      </w:r>
    </w:p>
    <w:p w:rsidR="00036320" w:rsidRDefault="00036320" w:rsidP="00B13D45">
      <w:pPr>
        <w:spacing w:before="120" w:after="120"/>
        <w:jc w:val="both"/>
      </w:pPr>
      <w:r>
        <w:t xml:space="preserve">In addition to the above legislative requirements the internal auditors conduct their work based on the </w:t>
      </w:r>
      <w:r w:rsidR="005C02D2">
        <w:t>International Standards for the Professional Practice of Internal Auditing (</w:t>
      </w:r>
      <w:r w:rsidR="00D62104">
        <w:t>ISPPIA) issued</w:t>
      </w:r>
      <w:r>
        <w:t xml:space="preserve"> by the Certified Institute of Internal Auditors (CIA) and subscribe to the King III report.</w:t>
      </w:r>
    </w:p>
    <w:p w:rsidR="00160775" w:rsidRPr="00B56ED8" w:rsidRDefault="00087BDB" w:rsidP="00B56ED8">
      <w:pPr>
        <w:pStyle w:val="Heading2"/>
        <w:keepNext w:val="0"/>
        <w:keepLines w:val="0"/>
        <w:suppressAutoHyphens/>
        <w:autoSpaceDN w:val="0"/>
        <w:spacing w:before="240" w:after="240"/>
        <w:ind w:left="284" w:right="0" w:hanging="284"/>
        <w:textAlignment w:val="baseline"/>
        <w:rPr>
          <w:rFonts w:ascii="Arial" w:eastAsia="MS Mincho" w:hAnsi="Arial" w:cs="Arial"/>
          <w:bCs w:val="0"/>
          <w:color w:val="auto"/>
          <w:szCs w:val="24"/>
          <w:lang w:eastAsia="en-ZA"/>
        </w:rPr>
      </w:pPr>
      <w:bookmarkStart w:id="6" w:name="_Toc466031755"/>
      <w:bookmarkStart w:id="7" w:name="_Toc466031896"/>
      <w:bookmarkStart w:id="8" w:name="_Toc466032368"/>
      <w:r w:rsidRPr="00B56ED8">
        <w:rPr>
          <w:rFonts w:ascii="Arial" w:eastAsia="MS Mincho" w:hAnsi="Arial" w:cs="Arial"/>
          <w:bCs w:val="0"/>
          <w:color w:val="auto"/>
          <w:szCs w:val="24"/>
          <w:lang w:eastAsia="en-ZA"/>
        </w:rPr>
        <w:t>WHY INVOLVE INTERNAL AUDIT</w:t>
      </w:r>
      <w:bookmarkEnd w:id="6"/>
      <w:bookmarkEnd w:id="7"/>
      <w:bookmarkEnd w:id="8"/>
    </w:p>
    <w:p w:rsidR="00087BDB" w:rsidRPr="007E067D" w:rsidRDefault="00087BDB" w:rsidP="00B13D45">
      <w:pPr>
        <w:jc w:val="both"/>
        <w:rPr>
          <w:rFonts w:ascii="Century Gothic" w:hAnsi="Century Gothic"/>
          <w:b/>
          <w:color w:val="4F271C"/>
          <w:sz w:val="20"/>
          <w:szCs w:val="20"/>
        </w:rPr>
      </w:pPr>
      <w:r w:rsidRPr="00F8558A">
        <w:t>The International Standards for the Professional Practice of Internal Auditing (ISPPIA) defines internal auditing as “an independent, objective assurance and consulting activity designed to add value and improve an organisation’s operations.</w:t>
      </w:r>
      <w:r w:rsidR="005C02D2">
        <w:t xml:space="preserve"> </w:t>
      </w:r>
      <w:r w:rsidRPr="00F8558A">
        <w:t xml:space="preserve"> It helps an organisation accomplish its objectives by bringing a systematic, disciplined approach to evaluate and improve the effectiveness of risk management, control and governance processes.”</w:t>
      </w:r>
    </w:p>
    <w:p w:rsidR="00087BDB" w:rsidRPr="00DE7E00" w:rsidRDefault="00087BDB" w:rsidP="00B13D45">
      <w:pPr>
        <w:jc w:val="both"/>
      </w:pPr>
      <w:r w:rsidRPr="00DE7E00">
        <w:t>Internal Audit provides an independent and objective:</w:t>
      </w:r>
    </w:p>
    <w:p w:rsidR="00087BDB" w:rsidRPr="00DE7E00" w:rsidRDefault="00087BDB" w:rsidP="00B13D45">
      <w:pPr>
        <w:pStyle w:val="ListParagraph"/>
        <w:ind w:left="1134" w:hanging="567"/>
        <w:jc w:val="both"/>
      </w:pPr>
      <w:proofErr w:type="gramStart"/>
      <w:r w:rsidRPr="00DE7E00">
        <w:lastRenderedPageBreak/>
        <w:t>opinion</w:t>
      </w:r>
      <w:proofErr w:type="gramEnd"/>
      <w:r w:rsidRPr="00DE7E00">
        <w:t xml:space="preserve"> (assurance) on risk management, control and governance, by measuring and evaluating their effectiveness in achieving the organisation’s agreed objectives. </w:t>
      </w:r>
      <w:r w:rsidR="00393494">
        <w:t xml:space="preserve"> </w:t>
      </w:r>
      <w:r w:rsidRPr="00DE7E00">
        <w:t>In addition,</w:t>
      </w:r>
      <w:r w:rsidR="00393494">
        <w:t xml:space="preserve"> </w:t>
      </w:r>
      <w:proofErr w:type="gramStart"/>
      <w:r w:rsidR="00393494">
        <w:t>Internal</w:t>
      </w:r>
      <w:proofErr w:type="gramEnd"/>
      <w:r w:rsidR="00393494">
        <w:t xml:space="preserve"> </w:t>
      </w:r>
      <w:r w:rsidR="005C02D2">
        <w:t>audit’s</w:t>
      </w:r>
      <w:r w:rsidR="00393494">
        <w:t xml:space="preserve"> findings and </w:t>
      </w:r>
      <w:r w:rsidRPr="00DE7E00">
        <w:t xml:space="preserve">recommendations are beneficial to line management in the audited areas. </w:t>
      </w:r>
      <w:r w:rsidR="00393494">
        <w:t xml:space="preserve"> </w:t>
      </w:r>
      <w:r w:rsidRPr="00DE7E00">
        <w:t xml:space="preserve">Risk management, control and governance comprise the policies, procedures and operations established to ensure the achievement of objectives, the appropriate assessment of risk, the reliability of internal control and external reporting and accountability processes, compliance with applicable laws and regulations, and compliance with the behavioural and ethical standards set for the municipality; and </w:t>
      </w:r>
    </w:p>
    <w:p w:rsidR="00087BDB" w:rsidRPr="00DE7E00" w:rsidRDefault="005C02D2" w:rsidP="00B13D45">
      <w:pPr>
        <w:pStyle w:val="ListParagraph"/>
        <w:ind w:left="1134" w:hanging="567"/>
        <w:jc w:val="both"/>
      </w:pPr>
      <w:proofErr w:type="gramStart"/>
      <w:r>
        <w:t>consultancy/</w:t>
      </w:r>
      <w:r w:rsidR="00087BDB" w:rsidRPr="00DE7E00">
        <w:t>advisory</w:t>
      </w:r>
      <w:proofErr w:type="gramEnd"/>
      <w:r w:rsidR="00087BDB" w:rsidRPr="00DE7E00">
        <w:t xml:space="preserve"> service specifically to help line management improve the municipality’s risk management, control and governance. </w:t>
      </w:r>
      <w:r w:rsidR="00393494">
        <w:t xml:space="preserve"> </w:t>
      </w:r>
      <w:r w:rsidR="00087BDB" w:rsidRPr="00DE7E00">
        <w:t>The service applies the professional skills of internal audit through a systematic and disciplined evaluation of the policies, procedures and operations that management put in place to ensure the achievement of the municipality’s objectives, and through r</w:t>
      </w:r>
      <w:r w:rsidR="00393494">
        <w:t xml:space="preserve">ecommendations for improvement.  </w:t>
      </w:r>
      <w:r w:rsidR="00087BDB" w:rsidRPr="00DE7E00">
        <w:t>Such consultancy work contributes to the opinion which</w:t>
      </w:r>
      <w:r w:rsidR="0071032B">
        <w:t xml:space="preserve"> an</w:t>
      </w:r>
      <w:r w:rsidR="00087BDB" w:rsidRPr="00DE7E00">
        <w:t xml:space="preserve"> internal audit provides on risk management, control and governance.   </w:t>
      </w:r>
    </w:p>
    <w:p w:rsidR="00087BDB" w:rsidRPr="00DE7E00" w:rsidRDefault="00087BDB" w:rsidP="00B13D45">
      <w:pPr>
        <w:jc w:val="both"/>
      </w:pPr>
      <w:r w:rsidRPr="00DE7E00">
        <w:t>Internal Audit should provid</w:t>
      </w:r>
      <w:r w:rsidR="005C02D2">
        <w:t>e assurance and/</w:t>
      </w:r>
      <w:r w:rsidR="00594EA6">
        <w:t>or advice to senior management</w:t>
      </w:r>
      <w:r w:rsidRPr="00DE7E00">
        <w:t xml:space="preserve"> Council, the Audit Committee and other stakeholders on:</w:t>
      </w:r>
    </w:p>
    <w:p w:rsidR="00087BDB" w:rsidRPr="008C2F0B" w:rsidRDefault="00087BDB" w:rsidP="00B13D45">
      <w:pPr>
        <w:pStyle w:val="ListParagraph"/>
        <w:jc w:val="both"/>
      </w:pPr>
      <w:r w:rsidRPr="00811136">
        <w:t>Project governance, including policies, procedures and controls</w:t>
      </w:r>
      <w:r w:rsidR="005C02D2">
        <w:t>.</w:t>
      </w:r>
      <w:r w:rsidRPr="00811136">
        <w:t xml:space="preserve"> </w:t>
      </w:r>
    </w:p>
    <w:p w:rsidR="00087BDB" w:rsidRPr="008C2F0B" w:rsidRDefault="00594EA6" w:rsidP="00B13D45">
      <w:pPr>
        <w:pStyle w:val="ListParagraph"/>
        <w:jc w:val="both"/>
      </w:pPr>
      <w:r w:rsidRPr="001B14B7">
        <w:t xml:space="preserve">Business case </w:t>
      </w:r>
      <w:r w:rsidR="00087BDB" w:rsidRPr="00FA2FD7">
        <w:t>valid</w:t>
      </w:r>
      <w:r>
        <w:t>ity</w:t>
      </w:r>
      <w:r w:rsidR="00087BDB" w:rsidRPr="008C2F0B">
        <w:t>, viab</w:t>
      </w:r>
      <w:r>
        <w:t xml:space="preserve">ility and </w:t>
      </w:r>
      <w:r w:rsidR="006B1BC4">
        <w:t>whether</w:t>
      </w:r>
      <w:r w:rsidR="00087BDB" w:rsidRPr="008C2F0B">
        <w:t xml:space="preserve"> worthwhile</w:t>
      </w:r>
      <w:r>
        <w:t xml:space="preserve"> and feasible</w:t>
      </w:r>
      <w:r w:rsidR="005C02D2">
        <w:t>.</w:t>
      </w:r>
      <w:r w:rsidR="00087BDB" w:rsidRPr="008C2F0B">
        <w:t xml:space="preserve"> </w:t>
      </w:r>
    </w:p>
    <w:p w:rsidR="00087BDB" w:rsidRPr="008C2F0B" w:rsidRDefault="00594EA6" w:rsidP="00B13D45">
      <w:pPr>
        <w:pStyle w:val="ListParagraph"/>
        <w:jc w:val="both"/>
      </w:pPr>
      <w:r w:rsidRPr="001B14B7">
        <w:t xml:space="preserve">Project planning matters such as the </w:t>
      </w:r>
      <w:r w:rsidRPr="00FA2FD7">
        <w:t>critical path, completeness and</w:t>
      </w:r>
      <w:r w:rsidR="00087BDB" w:rsidRPr="00FA2FD7">
        <w:t xml:space="preserve"> suitability</w:t>
      </w:r>
      <w:r w:rsidR="005C02D2">
        <w:t>.</w:t>
      </w:r>
      <w:r w:rsidR="00087BDB" w:rsidRPr="008C2F0B">
        <w:t xml:space="preserve"> </w:t>
      </w:r>
    </w:p>
    <w:p w:rsidR="00087BDB" w:rsidRPr="008C2F0B" w:rsidRDefault="00594EA6" w:rsidP="00B13D45">
      <w:pPr>
        <w:pStyle w:val="ListParagraph"/>
        <w:jc w:val="both"/>
      </w:pPr>
      <w:r w:rsidRPr="001B14B7">
        <w:t xml:space="preserve">Change management attending to </w:t>
      </w:r>
      <w:r w:rsidR="00087BDB" w:rsidRPr="00FA2FD7">
        <w:t xml:space="preserve">adherence </w:t>
      </w:r>
      <w:r>
        <w:t xml:space="preserve">to </w:t>
      </w:r>
      <w:r w:rsidR="00087BDB" w:rsidRPr="008C2F0B">
        <w:t>control</w:t>
      </w:r>
      <w:r>
        <w:t xml:space="preserve">s in the business processes and </w:t>
      </w:r>
      <w:r w:rsidR="00087BDB" w:rsidRPr="008C2F0B">
        <w:t>timeliness</w:t>
      </w:r>
      <w:r w:rsidR="005C02D2">
        <w:t>.</w:t>
      </w:r>
      <w:r w:rsidR="00087BDB" w:rsidRPr="008C2F0B">
        <w:t xml:space="preserve"> </w:t>
      </w:r>
    </w:p>
    <w:p w:rsidR="00087BDB" w:rsidRPr="008C2F0B" w:rsidRDefault="00594EA6" w:rsidP="00B13D45">
      <w:pPr>
        <w:pStyle w:val="ListParagraph"/>
        <w:jc w:val="both"/>
      </w:pPr>
      <w:r w:rsidRPr="001B14B7">
        <w:t xml:space="preserve">Risk and issue management addressing </w:t>
      </w:r>
      <w:r w:rsidRPr="00FA2FD7">
        <w:t xml:space="preserve">depth, coverage and </w:t>
      </w:r>
      <w:r w:rsidR="00087BDB" w:rsidRPr="00FA2FD7">
        <w:t>resolution</w:t>
      </w:r>
      <w:r w:rsidR="005C02D2">
        <w:t>.</w:t>
      </w:r>
      <w:r w:rsidR="00087BDB" w:rsidRPr="008C2F0B">
        <w:t xml:space="preserve"> </w:t>
      </w:r>
    </w:p>
    <w:p w:rsidR="00087BDB" w:rsidRPr="008C2F0B" w:rsidRDefault="00087BDB" w:rsidP="00B13D45">
      <w:pPr>
        <w:pStyle w:val="ListParagraph"/>
        <w:jc w:val="both"/>
      </w:pPr>
      <w:r w:rsidRPr="001B14B7">
        <w:t>Project co</w:t>
      </w:r>
      <w:r w:rsidR="00594EA6" w:rsidRPr="00FA2FD7">
        <w:t xml:space="preserve">sts considering </w:t>
      </w:r>
      <w:r w:rsidRPr="00FA2FD7">
        <w:t>actual</w:t>
      </w:r>
      <w:r w:rsidR="00F77547">
        <w:t>,</w:t>
      </w:r>
      <w:r w:rsidRPr="00FA2FD7">
        <w:t xml:space="preserve"> </w:t>
      </w:r>
      <w:r w:rsidR="00594EA6">
        <w:t xml:space="preserve">compared to </w:t>
      </w:r>
      <w:proofErr w:type="gramStart"/>
      <w:r w:rsidR="00594EA6">
        <w:t>budgeted</w:t>
      </w:r>
      <w:proofErr w:type="gramEnd"/>
      <w:r w:rsidR="005C02D2">
        <w:t>.</w:t>
      </w:r>
      <w:r w:rsidRPr="008C2F0B">
        <w:t xml:space="preserve"> </w:t>
      </w:r>
    </w:p>
    <w:p w:rsidR="00087BDB" w:rsidRPr="00FA2FD7" w:rsidRDefault="00087BDB" w:rsidP="00B13D45">
      <w:pPr>
        <w:pStyle w:val="ListParagraph"/>
        <w:jc w:val="both"/>
      </w:pPr>
      <w:r w:rsidRPr="001B14B7">
        <w:t>Sign</w:t>
      </w:r>
      <w:r w:rsidR="005C02D2" w:rsidRPr="00FA2FD7">
        <w:t>-off and criteria for stage gates.</w:t>
      </w:r>
      <w:r w:rsidRPr="00FA2FD7">
        <w:t xml:space="preserve"> </w:t>
      </w:r>
    </w:p>
    <w:p w:rsidR="00087BDB" w:rsidRPr="001B14B7" w:rsidRDefault="005C02D2" w:rsidP="00B13D45">
      <w:pPr>
        <w:pStyle w:val="ListParagraph"/>
        <w:jc w:val="both"/>
      </w:pPr>
      <w:r w:rsidRPr="00FA2FD7">
        <w:t xml:space="preserve">Approach to vendor management for </w:t>
      </w:r>
      <w:r w:rsidR="00594EA6">
        <w:t>example</w:t>
      </w:r>
      <w:r w:rsidR="00594EA6" w:rsidRPr="008C2F0B">
        <w:t xml:space="preserve"> contracting, </w:t>
      </w:r>
      <w:r w:rsidR="00087BDB" w:rsidRPr="001B14B7">
        <w:t>dependencies</w:t>
      </w:r>
      <w:r w:rsidR="00594EA6" w:rsidRPr="00FA2FD7">
        <w:t xml:space="preserve"> and management involvement in process ow</w:t>
      </w:r>
      <w:r w:rsidR="00594EA6">
        <w:t xml:space="preserve">nership </w:t>
      </w:r>
      <w:r w:rsidR="00594EA6" w:rsidRPr="008C2F0B">
        <w:t>and decision making.</w:t>
      </w:r>
    </w:p>
    <w:p w:rsidR="00087BDB" w:rsidRPr="008C2F0B" w:rsidRDefault="00594EA6" w:rsidP="00B13D45">
      <w:pPr>
        <w:pStyle w:val="ListParagraph"/>
        <w:jc w:val="both"/>
      </w:pPr>
      <w:r w:rsidRPr="00FA2FD7">
        <w:t xml:space="preserve">Business readiness </w:t>
      </w:r>
      <w:r>
        <w:t>“</w:t>
      </w:r>
      <w:r w:rsidR="00087BDB" w:rsidRPr="008C2F0B">
        <w:t>pre-go-live</w:t>
      </w:r>
      <w:proofErr w:type="gramStart"/>
      <w:r w:rsidR="00BD645D">
        <w:t>.</w:t>
      </w:r>
      <w:r>
        <w:t>.</w:t>
      </w:r>
      <w:proofErr w:type="gramEnd"/>
      <w:r w:rsidR="00087BDB" w:rsidRPr="008C2F0B">
        <w:t xml:space="preserve"> </w:t>
      </w:r>
    </w:p>
    <w:p w:rsidR="00087BDB" w:rsidRPr="00FA2FD7" w:rsidRDefault="00594EA6" w:rsidP="00B13D45">
      <w:pPr>
        <w:pStyle w:val="ListParagraph"/>
        <w:jc w:val="both"/>
      </w:pPr>
      <w:r w:rsidRPr="001B14B7">
        <w:t xml:space="preserve">Project communications being accurate, sufficiently detailed and realistic.  </w:t>
      </w:r>
      <w:r w:rsidR="00087BDB" w:rsidRPr="00FA2FD7">
        <w:t xml:space="preserve"> </w:t>
      </w:r>
    </w:p>
    <w:p w:rsidR="00707EF8" w:rsidRPr="00B56ED8" w:rsidRDefault="00707EF8" w:rsidP="00B56ED8">
      <w:pPr>
        <w:pStyle w:val="Heading2"/>
        <w:keepNext w:val="0"/>
        <w:keepLines w:val="0"/>
        <w:suppressAutoHyphens/>
        <w:autoSpaceDN w:val="0"/>
        <w:spacing w:before="240" w:after="240"/>
        <w:ind w:left="284" w:right="0" w:hanging="284"/>
        <w:textAlignment w:val="baseline"/>
        <w:rPr>
          <w:rFonts w:ascii="Arial" w:eastAsia="MS Mincho" w:hAnsi="Arial" w:cs="Arial"/>
          <w:bCs w:val="0"/>
          <w:color w:val="auto"/>
          <w:szCs w:val="24"/>
          <w:lang w:eastAsia="en-ZA"/>
        </w:rPr>
      </w:pPr>
      <w:bookmarkStart w:id="9" w:name="_Toc466031756"/>
      <w:bookmarkStart w:id="10" w:name="_Toc466031897"/>
      <w:bookmarkStart w:id="11" w:name="_Toc466032369"/>
      <w:r w:rsidRPr="00B56ED8">
        <w:rPr>
          <w:rFonts w:ascii="Arial" w:eastAsia="MS Mincho" w:hAnsi="Arial" w:cs="Arial"/>
          <w:bCs w:val="0"/>
          <w:color w:val="auto"/>
          <w:szCs w:val="24"/>
          <w:lang w:eastAsia="en-ZA"/>
        </w:rPr>
        <w:t>WHEN SHOULD INTERNAL AUDIT BE INVOLVED?</w:t>
      </w:r>
      <w:bookmarkEnd w:id="9"/>
      <w:bookmarkEnd w:id="10"/>
      <w:bookmarkEnd w:id="11"/>
    </w:p>
    <w:p w:rsidR="00707EF8" w:rsidRPr="00DE7E00" w:rsidRDefault="00707EF8" w:rsidP="00B13D45">
      <w:pPr>
        <w:jc w:val="both"/>
      </w:pPr>
      <w:r w:rsidRPr="00DE7E00">
        <w:t xml:space="preserve">The earlier </w:t>
      </w:r>
      <w:r>
        <w:t xml:space="preserve">the internal auditors </w:t>
      </w:r>
      <w:r w:rsidR="00FA3443">
        <w:t>get</w:t>
      </w:r>
      <w:r w:rsidR="00FA3443" w:rsidRPr="00DE7E00">
        <w:t xml:space="preserve"> </w:t>
      </w:r>
      <w:r w:rsidRPr="00DE7E00">
        <w:t>involved the better since it will increase</w:t>
      </w:r>
      <w:r>
        <w:t xml:space="preserve"> the internal auditors </w:t>
      </w:r>
      <w:r w:rsidRPr="00DE7E00">
        <w:t xml:space="preserve">understanding of the project’s lifecycle and its key benefits, requirements, drivers and objectives. </w:t>
      </w:r>
      <w:r>
        <w:t xml:space="preserve"> </w:t>
      </w:r>
      <w:r w:rsidRPr="00DE7E00">
        <w:t>This enables</w:t>
      </w:r>
      <w:r>
        <w:t xml:space="preserve"> internal audit </w:t>
      </w:r>
      <w:r w:rsidRPr="00DE7E00">
        <w:t xml:space="preserve">to contribute to the project as it defines its risk management approach and strategy. </w:t>
      </w:r>
    </w:p>
    <w:p w:rsidR="00707EF8" w:rsidRPr="007E067D" w:rsidRDefault="00707EF8" w:rsidP="00B13D45">
      <w:pPr>
        <w:jc w:val="both"/>
        <w:rPr>
          <w:color w:val="4F271C"/>
          <w:szCs w:val="20"/>
        </w:rPr>
      </w:pPr>
      <w:r>
        <w:t>Internal audit’s</w:t>
      </w:r>
      <w:r w:rsidRPr="00F8558A">
        <w:t xml:space="preserve"> involvement at an early stage ensures greater alignment of the risk management principles to those of the municipality itself. </w:t>
      </w:r>
      <w:r>
        <w:t xml:space="preserve"> </w:t>
      </w:r>
      <w:r w:rsidRPr="00F8558A">
        <w:t>It also allows</w:t>
      </w:r>
      <w:r>
        <w:t xml:space="preserve"> internal audit </w:t>
      </w:r>
      <w:r w:rsidRPr="00F8558A">
        <w:t>to establish and confirm its future involvement and method of</w:t>
      </w:r>
      <w:r w:rsidRPr="007E067D">
        <w:rPr>
          <w:color w:val="4F271C"/>
          <w:szCs w:val="20"/>
        </w:rPr>
        <w:t xml:space="preserve"> engagement on the level of inherent risk in the conversion</w:t>
      </w:r>
      <w:r w:rsidR="00594EA6" w:rsidRPr="007E067D">
        <w:rPr>
          <w:color w:val="4F271C"/>
          <w:szCs w:val="20"/>
        </w:rPr>
        <w:t>/</w:t>
      </w:r>
      <w:r w:rsidRPr="007E067D">
        <w:rPr>
          <w:color w:val="4F271C"/>
          <w:szCs w:val="20"/>
        </w:rPr>
        <w:t xml:space="preserve">re-implementation of the system. </w:t>
      </w:r>
    </w:p>
    <w:p w:rsidR="00707EF8" w:rsidRPr="00DE7E00" w:rsidRDefault="00594EA6" w:rsidP="00B13D45">
      <w:pPr>
        <w:jc w:val="both"/>
      </w:pPr>
      <w:r>
        <w:t>Benefits of engaging internal audit</w:t>
      </w:r>
      <w:r w:rsidR="00707EF8" w:rsidRPr="00DE7E00">
        <w:t xml:space="preserve"> early on in the project lifecycle include:</w:t>
      </w:r>
    </w:p>
    <w:p w:rsidR="00707EF8" w:rsidRPr="00F8558A" w:rsidRDefault="00707EF8" w:rsidP="00B13D45">
      <w:pPr>
        <w:pStyle w:val="ListParagraph"/>
        <w:ind w:left="1134" w:hanging="567"/>
        <w:jc w:val="both"/>
      </w:pPr>
      <w:r w:rsidRPr="00F8558A">
        <w:t>Better organisational readiness</w:t>
      </w:r>
      <w:r w:rsidR="00594EA6">
        <w:t>.</w:t>
      </w:r>
    </w:p>
    <w:p w:rsidR="00707EF8" w:rsidRPr="00F8558A" w:rsidRDefault="00707EF8" w:rsidP="00B13D45">
      <w:pPr>
        <w:pStyle w:val="ListParagraph"/>
        <w:ind w:left="1134" w:hanging="567"/>
        <w:jc w:val="both"/>
      </w:pPr>
      <w:r w:rsidRPr="00F8558A">
        <w:t>Early identification, greater understanding and improved resolution of issues</w:t>
      </w:r>
      <w:r w:rsidR="00594EA6">
        <w:t>.</w:t>
      </w:r>
    </w:p>
    <w:p w:rsidR="00707EF8" w:rsidRPr="00F8558A" w:rsidRDefault="00707EF8" w:rsidP="00B13D45">
      <w:pPr>
        <w:pStyle w:val="ListParagraph"/>
        <w:ind w:left="1134" w:hanging="567"/>
        <w:jc w:val="both"/>
      </w:pPr>
      <w:r w:rsidRPr="00F8558A">
        <w:t>Increased likelihood of delivering the project on scope, on time and on budget</w:t>
      </w:r>
      <w:r w:rsidR="00594EA6">
        <w:t>.</w:t>
      </w:r>
    </w:p>
    <w:p w:rsidR="00707EF8" w:rsidRPr="00F8558A" w:rsidRDefault="00707EF8" w:rsidP="00B13D45">
      <w:pPr>
        <w:pStyle w:val="ListParagraph"/>
        <w:ind w:left="1134" w:hanging="567"/>
        <w:jc w:val="both"/>
      </w:pPr>
      <w:r w:rsidRPr="00F8558A">
        <w:t>Better change management so that new systems are embraced</w:t>
      </w:r>
      <w:r w:rsidR="00594EA6">
        <w:t>.</w:t>
      </w:r>
    </w:p>
    <w:p w:rsidR="00707EF8" w:rsidRPr="00F8558A" w:rsidRDefault="00707EF8" w:rsidP="00B13D45">
      <w:pPr>
        <w:pStyle w:val="ListParagraph"/>
        <w:ind w:left="1134" w:hanging="567"/>
        <w:jc w:val="both"/>
      </w:pPr>
      <w:r w:rsidRPr="00F8558A">
        <w:t>Increased project control to maximise efficiency</w:t>
      </w:r>
      <w:r w:rsidR="00594EA6">
        <w:t>.</w:t>
      </w:r>
      <w:r w:rsidRPr="00F8558A">
        <w:t xml:space="preserve"> </w:t>
      </w:r>
    </w:p>
    <w:p w:rsidR="00707EF8" w:rsidRPr="00F8558A" w:rsidRDefault="00707EF8" w:rsidP="00B13D45">
      <w:pPr>
        <w:pStyle w:val="ListParagraph"/>
        <w:ind w:left="1134" w:hanging="567"/>
        <w:jc w:val="both"/>
      </w:pPr>
      <w:r w:rsidRPr="00F8558A">
        <w:t>Improved abil</w:t>
      </w:r>
      <w:r w:rsidR="00594EA6" w:rsidRPr="008C2F0B">
        <w:t>ity of the internal audit</w:t>
      </w:r>
      <w:r w:rsidRPr="00F8558A">
        <w:t xml:space="preserve"> and risk management functions to provide a thorough assurance solution</w:t>
      </w:r>
      <w:r w:rsidR="00594EA6">
        <w:t>.</w:t>
      </w:r>
    </w:p>
    <w:p w:rsidR="00160775" w:rsidRPr="00B56ED8" w:rsidRDefault="00340CFD" w:rsidP="00B56ED8">
      <w:pPr>
        <w:pStyle w:val="Heading2"/>
        <w:keepNext w:val="0"/>
        <w:keepLines w:val="0"/>
        <w:suppressAutoHyphens/>
        <w:autoSpaceDN w:val="0"/>
        <w:spacing w:before="240" w:after="240"/>
        <w:ind w:left="284" w:right="0" w:hanging="284"/>
        <w:textAlignment w:val="baseline"/>
        <w:rPr>
          <w:rFonts w:ascii="Arial" w:eastAsia="MS Mincho" w:hAnsi="Arial" w:cs="Arial"/>
          <w:bCs w:val="0"/>
          <w:color w:val="auto"/>
          <w:szCs w:val="24"/>
          <w:lang w:eastAsia="en-ZA"/>
        </w:rPr>
      </w:pPr>
      <w:bookmarkStart w:id="12" w:name="_Toc466031757"/>
      <w:bookmarkStart w:id="13" w:name="_Toc466031898"/>
      <w:bookmarkStart w:id="14" w:name="_Toc466032370"/>
      <w:r w:rsidRPr="00B56ED8">
        <w:rPr>
          <w:rFonts w:ascii="Arial" w:eastAsia="MS Mincho" w:hAnsi="Arial" w:cs="Arial"/>
          <w:bCs w:val="0"/>
          <w:color w:val="auto"/>
          <w:szCs w:val="24"/>
          <w:lang w:eastAsia="en-ZA"/>
        </w:rPr>
        <w:t>THE ROLE OF INTERNAL AUDIT THROUGH THE PROJECT LIFECYCLE</w:t>
      </w:r>
      <w:bookmarkEnd w:id="12"/>
      <w:bookmarkEnd w:id="13"/>
      <w:bookmarkEnd w:id="14"/>
    </w:p>
    <w:p w:rsidR="002C6420" w:rsidRDefault="002C6420" w:rsidP="00B13D45">
      <w:pPr>
        <w:numPr>
          <w:ilvl w:val="0"/>
          <w:numId w:val="0"/>
        </w:numPr>
        <w:ind w:left="567"/>
        <w:jc w:val="both"/>
      </w:pPr>
      <w:r>
        <w:t xml:space="preserve">Internal </w:t>
      </w:r>
      <w:r w:rsidR="00C61A14">
        <w:t xml:space="preserve">audit </w:t>
      </w:r>
      <w:r>
        <w:t>has a role to play throughout the project lifecycle.  The table included hereunder provides a summary of some activities within the phases of the project lifecycle.</w:t>
      </w:r>
    </w:p>
    <w:tbl>
      <w:tblPr>
        <w:tblW w:w="5000" w:type="pct"/>
        <w:tblBorders>
          <w:top w:val="single" w:sz="4" w:space="0" w:color="8797C3"/>
          <w:left w:val="single" w:sz="4" w:space="0" w:color="8797C3"/>
          <w:bottom w:val="single" w:sz="4" w:space="0" w:color="8797C3"/>
          <w:right w:val="single" w:sz="4" w:space="0" w:color="8797C3"/>
          <w:insideH w:val="single" w:sz="4" w:space="0" w:color="8797C3"/>
        </w:tblBorders>
        <w:tblLook w:val="04A0" w:firstRow="1" w:lastRow="0" w:firstColumn="1" w:lastColumn="0" w:noHBand="0" w:noVBand="1"/>
      </w:tblPr>
      <w:tblGrid>
        <w:gridCol w:w="2086"/>
        <w:gridCol w:w="2494"/>
        <w:gridCol w:w="2153"/>
        <w:gridCol w:w="2283"/>
      </w:tblGrid>
      <w:tr w:rsidR="000130E6" w:rsidRPr="007E067D" w:rsidTr="00B56ED8">
        <w:trPr>
          <w:tblHeader/>
        </w:trPr>
        <w:tc>
          <w:tcPr>
            <w:tcW w:w="1157" w:type="pct"/>
            <w:tcBorders>
              <w:top w:val="single" w:sz="4" w:space="0" w:color="475A8D"/>
              <w:left w:val="single" w:sz="4" w:space="0" w:color="475A8D"/>
              <w:bottom w:val="single" w:sz="4" w:space="0" w:color="475A8D"/>
            </w:tcBorders>
            <w:shd w:val="clear" w:color="auto" w:fill="C00000"/>
          </w:tcPr>
          <w:p w:rsidR="002C6420" w:rsidRPr="007E067D" w:rsidRDefault="002C6420" w:rsidP="007E067D">
            <w:pPr>
              <w:numPr>
                <w:ilvl w:val="0"/>
                <w:numId w:val="0"/>
              </w:numPr>
              <w:tabs>
                <w:tab w:val="left" w:pos="1273"/>
              </w:tabs>
              <w:spacing w:before="120" w:after="120"/>
              <w:jc w:val="both"/>
              <w:rPr>
                <w:bCs/>
                <w:color w:val="FFFFFF"/>
                <w:szCs w:val="20"/>
              </w:rPr>
            </w:pPr>
            <w:r w:rsidRPr="007E067D">
              <w:rPr>
                <w:b/>
                <w:bCs/>
                <w:color w:val="FFFFFF"/>
                <w:szCs w:val="20"/>
              </w:rPr>
              <w:t>Planning</w:t>
            </w:r>
          </w:p>
        </w:tc>
        <w:tc>
          <w:tcPr>
            <w:tcW w:w="1383" w:type="pct"/>
            <w:tcBorders>
              <w:top w:val="single" w:sz="4" w:space="0" w:color="475A8D"/>
              <w:bottom w:val="single" w:sz="4" w:space="0" w:color="475A8D"/>
            </w:tcBorders>
            <w:shd w:val="clear" w:color="auto" w:fill="C00000"/>
          </w:tcPr>
          <w:p w:rsidR="002C6420" w:rsidRPr="007E067D" w:rsidRDefault="00FD3A61" w:rsidP="007E067D">
            <w:pPr>
              <w:numPr>
                <w:ilvl w:val="0"/>
                <w:numId w:val="0"/>
              </w:numPr>
              <w:spacing w:before="120" w:after="120"/>
              <w:ind w:left="567" w:hanging="567"/>
              <w:jc w:val="both"/>
              <w:rPr>
                <w:bCs/>
                <w:color w:val="FFFFFF"/>
                <w:szCs w:val="20"/>
              </w:rPr>
            </w:pPr>
            <w:r w:rsidRPr="007E067D">
              <w:rPr>
                <w:b/>
                <w:bCs/>
                <w:color w:val="FFFFFF"/>
                <w:szCs w:val="20"/>
              </w:rPr>
              <w:t xml:space="preserve">Execution &amp; </w:t>
            </w:r>
            <w:r w:rsidR="002C6420" w:rsidRPr="007E067D">
              <w:rPr>
                <w:b/>
                <w:bCs/>
                <w:color w:val="FFFFFF"/>
                <w:szCs w:val="20"/>
              </w:rPr>
              <w:t>Control</w:t>
            </w:r>
          </w:p>
        </w:tc>
        <w:tc>
          <w:tcPr>
            <w:tcW w:w="1194" w:type="pct"/>
            <w:tcBorders>
              <w:top w:val="single" w:sz="4" w:space="0" w:color="475A8D"/>
              <w:bottom w:val="single" w:sz="4" w:space="0" w:color="475A8D"/>
            </w:tcBorders>
            <w:shd w:val="clear" w:color="auto" w:fill="C00000"/>
          </w:tcPr>
          <w:p w:rsidR="002C6420" w:rsidRPr="007E067D" w:rsidRDefault="002C6420" w:rsidP="007E067D">
            <w:pPr>
              <w:numPr>
                <w:ilvl w:val="0"/>
                <w:numId w:val="0"/>
              </w:numPr>
              <w:spacing w:before="120" w:after="120"/>
              <w:jc w:val="both"/>
              <w:rPr>
                <w:bCs/>
                <w:color w:val="FFFFFF"/>
                <w:szCs w:val="20"/>
              </w:rPr>
            </w:pPr>
            <w:r w:rsidRPr="007E067D">
              <w:rPr>
                <w:b/>
                <w:bCs/>
                <w:color w:val="FFFFFF"/>
                <w:szCs w:val="20"/>
              </w:rPr>
              <w:t>Completion</w:t>
            </w:r>
          </w:p>
        </w:tc>
        <w:tc>
          <w:tcPr>
            <w:tcW w:w="1266" w:type="pct"/>
            <w:tcBorders>
              <w:top w:val="single" w:sz="4" w:space="0" w:color="475A8D"/>
              <w:bottom w:val="single" w:sz="4" w:space="0" w:color="475A8D"/>
              <w:right w:val="single" w:sz="4" w:space="0" w:color="475A8D"/>
            </w:tcBorders>
            <w:shd w:val="clear" w:color="auto" w:fill="C00000"/>
          </w:tcPr>
          <w:p w:rsidR="002C6420" w:rsidRPr="007E067D" w:rsidRDefault="002C6420" w:rsidP="007E067D">
            <w:pPr>
              <w:numPr>
                <w:ilvl w:val="0"/>
                <w:numId w:val="0"/>
              </w:numPr>
              <w:spacing w:before="120" w:after="120"/>
              <w:ind w:left="567" w:hanging="567"/>
              <w:jc w:val="both"/>
              <w:rPr>
                <w:bCs/>
                <w:color w:val="FFFFFF"/>
                <w:szCs w:val="20"/>
              </w:rPr>
            </w:pPr>
            <w:r w:rsidRPr="007E067D">
              <w:rPr>
                <w:b/>
                <w:bCs/>
                <w:color w:val="FFFFFF"/>
                <w:szCs w:val="20"/>
              </w:rPr>
              <w:t>Benefits</w:t>
            </w:r>
          </w:p>
        </w:tc>
      </w:tr>
      <w:tr w:rsidR="00B56ED8" w:rsidRPr="00B56ED8" w:rsidTr="00F8568B">
        <w:tc>
          <w:tcPr>
            <w:tcW w:w="1157" w:type="pct"/>
            <w:shd w:val="clear" w:color="auto" w:fill="D9D9D9" w:themeFill="background1" w:themeFillShade="D9"/>
          </w:tcPr>
          <w:p w:rsidR="002C6420" w:rsidRPr="00B56ED8" w:rsidRDefault="002C6420" w:rsidP="007E067D">
            <w:pPr>
              <w:pStyle w:val="ListParagraph"/>
              <w:numPr>
                <w:ilvl w:val="0"/>
                <w:numId w:val="10"/>
              </w:numPr>
              <w:spacing w:before="0" w:after="0"/>
              <w:ind w:left="274" w:right="0" w:hanging="284"/>
              <w:contextualSpacing/>
              <w:jc w:val="both"/>
              <w:rPr>
                <w:bCs/>
                <w:szCs w:val="20"/>
              </w:rPr>
            </w:pPr>
            <w:r w:rsidRPr="00B56ED8">
              <w:rPr>
                <w:bCs/>
                <w:szCs w:val="20"/>
              </w:rPr>
              <w:t>Review of business case and its internal governance processes</w:t>
            </w:r>
          </w:p>
          <w:p w:rsidR="002C6420" w:rsidRPr="00B56ED8" w:rsidRDefault="002C6420" w:rsidP="007E067D">
            <w:pPr>
              <w:pStyle w:val="ListParagraph"/>
              <w:numPr>
                <w:ilvl w:val="0"/>
                <w:numId w:val="10"/>
              </w:numPr>
              <w:spacing w:before="0" w:after="0"/>
              <w:ind w:left="274" w:right="0" w:hanging="284"/>
              <w:contextualSpacing/>
              <w:jc w:val="both"/>
              <w:rPr>
                <w:bCs/>
                <w:szCs w:val="20"/>
              </w:rPr>
            </w:pPr>
            <w:r w:rsidRPr="00B56ED8">
              <w:rPr>
                <w:bCs/>
                <w:szCs w:val="20"/>
              </w:rPr>
              <w:t>Clear articulation of expected benefits</w:t>
            </w:r>
          </w:p>
          <w:p w:rsidR="002C6420" w:rsidRPr="00B56ED8" w:rsidRDefault="002C6420" w:rsidP="007E067D">
            <w:pPr>
              <w:pStyle w:val="ListParagraph"/>
              <w:numPr>
                <w:ilvl w:val="0"/>
                <w:numId w:val="10"/>
              </w:numPr>
              <w:spacing w:before="0" w:after="0"/>
              <w:ind w:left="274" w:right="0" w:hanging="284"/>
              <w:contextualSpacing/>
              <w:jc w:val="both"/>
              <w:rPr>
                <w:bCs/>
                <w:szCs w:val="20"/>
              </w:rPr>
            </w:pPr>
            <w:r w:rsidRPr="00B56ED8">
              <w:rPr>
                <w:bCs/>
                <w:szCs w:val="20"/>
              </w:rPr>
              <w:t xml:space="preserve">Validation of expected cost and related due diligence </w:t>
            </w:r>
          </w:p>
          <w:p w:rsidR="002C6420" w:rsidRPr="00B56ED8" w:rsidRDefault="002C6420" w:rsidP="007E067D">
            <w:pPr>
              <w:pStyle w:val="ListParagraph"/>
              <w:numPr>
                <w:ilvl w:val="0"/>
                <w:numId w:val="10"/>
              </w:numPr>
              <w:spacing w:before="0" w:after="0"/>
              <w:ind w:left="274" w:right="0" w:hanging="284"/>
              <w:contextualSpacing/>
              <w:jc w:val="both"/>
              <w:rPr>
                <w:bCs/>
                <w:szCs w:val="20"/>
              </w:rPr>
            </w:pPr>
            <w:r w:rsidRPr="00B56ED8">
              <w:rPr>
                <w:bCs/>
                <w:szCs w:val="20"/>
              </w:rPr>
              <w:t xml:space="preserve">Articulation of key strategic and project risks and how they will be managed </w:t>
            </w:r>
          </w:p>
          <w:p w:rsidR="002C6420" w:rsidRPr="00B56ED8" w:rsidRDefault="002C6420" w:rsidP="007E067D">
            <w:pPr>
              <w:pStyle w:val="ListParagraph"/>
              <w:numPr>
                <w:ilvl w:val="0"/>
                <w:numId w:val="10"/>
              </w:numPr>
              <w:spacing w:before="0" w:after="0"/>
              <w:ind w:left="274" w:right="0" w:hanging="284"/>
              <w:contextualSpacing/>
              <w:jc w:val="both"/>
              <w:rPr>
                <w:bCs/>
                <w:szCs w:val="20"/>
              </w:rPr>
            </w:pPr>
            <w:r w:rsidRPr="00B56ED8">
              <w:rPr>
                <w:bCs/>
                <w:szCs w:val="20"/>
              </w:rPr>
              <w:t>Identification of roles, responsibilities and accountabilities</w:t>
            </w:r>
          </w:p>
          <w:p w:rsidR="002C6420" w:rsidRPr="00B56ED8" w:rsidRDefault="002C6420" w:rsidP="007E067D">
            <w:pPr>
              <w:pStyle w:val="ListParagraph"/>
              <w:numPr>
                <w:ilvl w:val="0"/>
                <w:numId w:val="10"/>
              </w:numPr>
              <w:spacing w:before="0" w:after="0"/>
              <w:ind w:left="274" w:right="0" w:hanging="284"/>
              <w:contextualSpacing/>
              <w:jc w:val="both"/>
              <w:rPr>
                <w:bCs/>
                <w:szCs w:val="20"/>
              </w:rPr>
            </w:pPr>
            <w:r w:rsidRPr="00B56ED8">
              <w:rPr>
                <w:bCs/>
                <w:szCs w:val="20"/>
              </w:rPr>
              <w:t>Project governance process e.g. review of Project Implementation Plan</w:t>
            </w:r>
          </w:p>
        </w:tc>
        <w:tc>
          <w:tcPr>
            <w:tcW w:w="1383" w:type="pct"/>
            <w:shd w:val="clear" w:color="auto" w:fill="D9D9D9" w:themeFill="background1" w:themeFillShade="D9"/>
          </w:tcPr>
          <w:p w:rsidR="002C6420" w:rsidRPr="00B56ED8" w:rsidRDefault="002C6420" w:rsidP="007E067D">
            <w:pPr>
              <w:pStyle w:val="ListParagraph"/>
              <w:numPr>
                <w:ilvl w:val="0"/>
                <w:numId w:val="10"/>
              </w:numPr>
              <w:spacing w:before="0" w:after="0"/>
              <w:ind w:left="274" w:right="0" w:hanging="284"/>
              <w:contextualSpacing/>
              <w:jc w:val="both"/>
              <w:rPr>
                <w:szCs w:val="20"/>
              </w:rPr>
            </w:pPr>
            <w:r w:rsidRPr="00B56ED8">
              <w:rPr>
                <w:szCs w:val="20"/>
              </w:rPr>
              <w:t>Participate in steering committee</w:t>
            </w:r>
          </w:p>
          <w:p w:rsidR="002C6420" w:rsidRPr="00B56ED8" w:rsidRDefault="002C6420" w:rsidP="007E067D">
            <w:pPr>
              <w:pStyle w:val="ListParagraph"/>
              <w:numPr>
                <w:ilvl w:val="0"/>
                <w:numId w:val="10"/>
              </w:numPr>
              <w:spacing w:before="0" w:after="0"/>
              <w:ind w:left="274" w:right="0" w:hanging="284"/>
              <w:contextualSpacing/>
              <w:jc w:val="both"/>
              <w:rPr>
                <w:szCs w:val="20"/>
              </w:rPr>
            </w:pPr>
            <w:r w:rsidRPr="00B56ED8">
              <w:rPr>
                <w:szCs w:val="20"/>
              </w:rPr>
              <w:t>Adequacy and accuracy project reporting – milestones, risks, costs and schedules</w:t>
            </w:r>
          </w:p>
          <w:p w:rsidR="002C6420" w:rsidRPr="00B56ED8" w:rsidRDefault="002C6420" w:rsidP="007E067D">
            <w:pPr>
              <w:pStyle w:val="ListParagraph"/>
              <w:numPr>
                <w:ilvl w:val="0"/>
                <w:numId w:val="10"/>
              </w:numPr>
              <w:spacing w:before="0" w:after="0"/>
              <w:ind w:left="274" w:right="0" w:hanging="284"/>
              <w:contextualSpacing/>
              <w:jc w:val="both"/>
              <w:rPr>
                <w:szCs w:val="20"/>
              </w:rPr>
            </w:pPr>
            <w:r w:rsidRPr="00B56ED8">
              <w:rPr>
                <w:szCs w:val="20"/>
              </w:rPr>
              <w:t>Review business controls structure, change management, employee engagement and training</w:t>
            </w:r>
          </w:p>
          <w:p w:rsidR="002C6420" w:rsidRPr="00B56ED8" w:rsidRDefault="002C6420" w:rsidP="007E067D">
            <w:pPr>
              <w:pStyle w:val="ListParagraph"/>
              <w:numPr>
                <w:ilvl w:val="0"/>
                <w:numId w:val="10"/>
              </w:numPr>
              <w:spacing w:before="0" w:after="0"/>
              <w:ind w:left="274" w:right="0" w:hanging="284"/>
              <w:contextualSpacing/>
              <w:jc w:val="both"/>
              <w:rPr>
                <w:szCs w:val="20"/>
              </w:rPr>
            </w:pPr>
            <w:r w:rsidRPr="00B56ED8">
              <w:rPr>
                <w:szCs w:val="20"/>
              </w:rPr>
              <w:t xml:space="preserve">Assess business impact and strategic changes required </w:t>
            </w:r>
          </w:p>
          <w:p w:rsidR="002C6420" w:rsidRPr="00B56ED8" w:rsidRDefault="002C6420" w:rsidP="007E067D">
            <w:pPr>
              <w:pStyle w:val="ListParagraph"/>
              <w:numPr>
                <w:ilvl w:val="0"/>
                <w:numId w:val="10"/>
              </w:numPr>
              <w:spacing w:before="0" w:after="0"/>
              <w:ind w:left="274" w:right="0" w:hanging="284"/>
              <w:contextualSpacing/>
              <w:jc w:val="both"/>
              <w:rPr>
                <w:szCs w:val="20"/>
              </w:rPr>
            </w:pPr>
            <w:r w:rsidRPr="00B56ED8">
              <w:rPr>
                <w:szCs w:val="20"/>
              </w:rPr>
              <w:t>Evaluate impact on IT application and general controls</w:t>
            </w:r>
          </w:p>
          <w:p w:rsidR="002C6420" w:rsidRPr="00B56ED8" w:rsidRDefault="002C6420" w:rsidP="007E067D">
            <w:pPr>
              <w:pStyle w:val="ListParagraph"/>
              <w:numPr>
                <w:ilvl w:val="0"/>
                <w:numId w:val="10"/>
              </w:numPr>
              <w:spacing w:before="0" w:after="0"/>
              <w:ind w:left="274" w:right="0" w:hanging="284"/>
              <w:contextualSpacing/>
              <w:jc w:val="both"/>
              <w:rPr>
                <w:szCs w:val="20"/>
              </w:rPr>
            </w:pPr>
            <w:r w:rsidRPr="00B56ED8">
              <w:rPr>
                <w:szCs w:val="20"/>
              </w:rPr>
              <w:t xml:space="preserve">Provide independent assurance to the Executive Management / Council </w:t>
            </w:r>
          </w:p>
        </w:tc>
        <w:tc>
          <w:tcPr>
            <w:tcW w:w="1194" w:type="pct"/>
            <w:shd w:val="clear" w:color="auto" w:fill="D9D9D9" w:themeFill="background1" w:themeFillShade="D9"/>
          </w:tcPr>
          <w:p w:rsidR="002C6420" w:rsidRPr="00B56ED8" w:rsidRDefault="002C6420" w:rsidP="007E067D">
            <w:pPr>
              <w:pStyle w:val="ListParagraph"/>
              <w:numPr>
                <w:ilvl w:val="0"/>
                <w:numId w:val="10"/>
              </w:numPr>
              <w:spacing w:before="0" w:after="0"/>
              <w:ind w:left="274" w:right="0" w:hanging="284"/>
              <w:contextualSpacing/>
              <w:jc w:val="both"/>
              <w:rPr>
                <w:szCs w:val="20"/>
              </w:rPr>
            </w:pPr>
            <w:r w:rsidRPr="00B56ED8">
              <w:rPr>
                <w:szCs w:val="20"/>
              </w:rPr>
              <w:t xml:space="preserve">Organisational readiness </w:t>
            </w:r>
          </w:p>
          <w:p w:rsidR="002C6420" w:rsidRPr="00B56ED8" w:rsidRDefault="002C6420" w:rsidP="007E067D">
            <w:pPr>
              <w:pStyle w:val="ListParagraph"/>
              <w:numPr>
                <w:ilvl w:val="0"/>
                <w:numId w:val="10"/>
              </w:numPr>
              <w:spacing w:before="0" w:after="0"/>
              <w:ind w:left="274" w:right="0" w:hanging="284"/>
              <w:contextualSpacing/>
              <w:jc w:val="both"/>
              <w:rPr>
                <w:szCs w:val="20"/>
              </w:rPr>
            </w:pPr>
            <w:r w:rsidRPr="00B56ED8">
              <w:rPr>
                <w:szCs w:val="20"/>
              </w:rPr>
              <w:t>Data migration – accuracy/ completeness</w:t>
            </w:r>
          </w:p>
          <w:p w:rsidR="002C6420" w:rsidRPr="00B56ED8" w:rsidRDefault="002C6420" w:rsidP="007E067D">
            <w:pPr>
              <w:pStyle w:val="ListParagraph"/>
              <w:numPr>
                <w:ilvl w:val="0"/>
                <w:numId w:val="10"/>
              </w:numPr>
              <w:spacing w:before="0" w:after="0"/>
              <w:ind w:left="274" w:right="0" w:hanging="284"/>
              <w:contextualSpacing/>
              <w:jc w:val="both"/>
              <w:rPr>
                <w:szCs w:val="20"/>
              </w:rPr>
            </w:pPr>
            <w:r w:rsidRPr="00B56ED8">
              <w:rPr>
                <w:szCs w:val="20"/>
              </w:rPr>
              <w:t xml:space="preserve">Contingency planning </w:t>
            </w:r>
          </w:p>
          <w:p w:rsidR="002C6420" w:rsidRPr="00B56ED8" w:rsidRDefault="002C6420" w:rsidP="007E067D">
            <w:pPr>
              <w:pStyle w:val="ListParagraph"/>
              <w:numPr>
                <w:ilvl w:val="0"/>
                <w:numId w:val="10"/>
              </w:numPr>
              <w:spacing w:before="0" w:after="0"/>
              <w:ind w:left="274" w:right="0" w:hanging="284"/>
              <w:contextualSpacing/>
              <w:jc w:val="both"/>
              <w:rPr>
                <w:szCs w:val="20"/>
              </w:rPr>
            </w:pPr>
            <w:r w:rsidRPr="00B56ED8">
              <w:rPr>
                <w:szCs w:val="20"/>
              </w:rPr>
              <w:t>Post-implementation review</w:t>
            </w:r>
          </w:p>
          <w:p w:rsidR="002C6420" w:rsidRPr="00B56ED8" w:rsidRDefault="002C6420" w:rsidP="007E067D">
            <w:pPr>
              <w:pStyle w:val="ListParagraph"/>
              <w:numPr>
                <w:ilvl w:val="0"/>
                <w:numId w:val="10"/>
              </w:numPr>
              <w:spacing w:before="0" w:after="0"/>
              <w:ind w:left="274" w:right="0" w:hanging="284"/>
              <w:contextualSpacing/>
              <w:jc w:val="both"/>
              <w:rPr>
                <w:szCs w:val="20"/>
              </w:rPr>
            </w:pPr>
            <w:r w:rsidRPr="00B56ED8">
              <w:rPr>
                <w:szCs w:val="20"/>
              </w:rPr>
              <w:t xml:space="preserve">Controlled testing of effectiveness </w:t>
            </w:r>
          </w:p>
          <w:p w:rsidR="002C6420" w:rsidRPr="00B56ED8" w:rsidRDefault="002C6420" w:rsidP="007E067D">
            <w:pPr>
              <w:pStyle w:val="ListParagraph"/>
              <w:numPr>
                <w:ilvl w:val="0"/>
                <w:numId w:val="10"/>
              </w:numPr>
              <w:spacing w:before="0" w:after="0"/>
              <w:ind w:left="274" w:right="0" w:hanging="284"/>
              <w:contextualSpacing/>
              <w:jc w:val="both"/>
              <w:rPr>
                <w:szCs w:val="20"/>
              </w:rPr>
            </w:pPr>
            <w:r w:rsidRPr="00B56ED8">
              <w:rPr>
                <w:szCs w:val="20"/>
              </w:rPr>
              <w:t>Review policy/ procedure changes necessary</w:t>
            </w:r>
          </w:p>
          <w:p w:rsidR="002C6420" w:rsidRPr="00B56ED8" w:rsidRDefault="002C6420" w:rsidP="007E067D">
            <w:pPr>
              <w:pStyle w:val="ListParagraph"/>
              <w:numPr>
                <w:ilvl w:val="0"/>
                <w:numId w:val="0"/>
              </w:numPr>
              <w:ind w:left="1222"/>
              <w:jc w:val="both"/>
              <w:rPr>
                <w:szCs w:val="20"/>
              </w:rPr>
            </w:pPr>
          </w:p>
        </w:tc>
        <w:tc>
          <w:tcPr>
            <w:tcW w:w="1266" w:type="pct"/>
            <w:shd w:val="clear" w:color="auto" w:fill="D9D9D9" w:themeFill="background1" w:themeFillShade="D9"/>
          </w:tcPr>
          <w:p w:rsidR="002C6420" w:rsidRPr="00B56ED8" w:rsidRDefault="002C6420" w:rsidP="007E067D">
            <w:pPr>
              <w:pStyle w:val="ListParagraph"/>
              <w:numPr>
                <w:ilvl w:val="0"/>
                <w:numId w:val="10"/>
              </w:numPr>
              <w:spacing w:before="0" w:after="0"/>
              <w:ind w:left="274" w:right="0" w:hanging="284"/>
              <w:contextualSpacing/>
              <w:jc w:val="both"/>
              <w:rPr>
                <w:szCs w:val="20"/>
              </w:rPr>
            </w:pPr>
            <w:r w:rsidRPr="00B56ED8">
              <w:rPr>
                <w:szCs w:val="20"/>
              </w:rPr>
              <w:t>Provide organisational feedback on lessons learnt</w:t>
            </w:r>
          </w:p>
        </w:tc>
      </w:tr>
    </w:tbl>
    <w:p w:rsidR="002C6420" w:rsidRPr="00B56ED8" w:rsidRDefault="006B1029" w:rsidP="00B56ED8">
      <w:pPr>
        <w:pStyle w:val="Heading2"/>
        <w:keepNext w:val="0"/>
        <w:keepLines w:val="0"/>
        <w:suppressAutoHyphens/>
        <w:autoSpaceDN w:val="0"/>
        <w:spacing w:before="240" w:after="240"/>
        <w:ind w:left="284" w:right="0" w:hanging="284"/>
        <w:textAlignment w:val="baseline"/>
        <w:rPr>
          <w:rFonts w:ascii="Arial" w:eastAsia="MS Mincho" w:hAnsi="Arial" w:cs="Arial"/>
          <w:bCs w:val="0"/>
          <w:color w:val="auto"/>
          <w:szCs w:val="24"/>
          <w:lang w:eastAsia="en-ZA"/>
        </w:rPr>
      </w:pPr>
      <w:bookmarkStart w:id="15" w:name="_Toc466031758"/>
      <w:bookmarkStart w:id="16" w:name="_Toc466031899"/>
      <w:bookmarkStart w:id="17" w:name="_Toc466032371"/>
      <w:r w:rsidRPr="00B56ED8">
        <w:rPr>
          <w:rFonts w:ascii="Arial" w:eastAsia="MS Mincho" w:hAnsi="Arial" w:cs="Arial"/>
          <w:bCs w:val="0"/>
          <w:color w:val="auto"/>
          <w:szCs w:val="24"/>
          <w:lang w:eastAsia="en-ZA"/>
        </w:rPr>
        <w:t>HOW CAN INTERNAL AUDIT HELP?</w:t>
      </w:r>
      <w:bookmarkEnd w:id="15"/>
      <w:bookmarkEnd w:id="16"/>
      <w:bookmarkEnd w:id="17"/>
    </w:p>
    <w:p w:rsidR="006B1029" w:rsidRPr="00DE7E00" w:rsidRDefault="006B1029" w:rsidP="00B13D45">
      <w:pPr>
        <w:jc w:val="both"/>
        <w:rPr>
          <w:b/>
        </w:rPr>
      </w:pPr>
      <w:r w:rsidRPr="00DE7E00">
        <w:t xml:space="preserve">The two questions most commonly asked of internal audit by senior management, </w:t>
      </w:r>
      <w:r>
        <w:t>council</w:t>
      </w:r>
      <w:r w:rsidRPr="00DE7E00">
        <w:t>, the audit committee and other stakeholders when faced with a significant initiative are:</w:t>
      </w:r>
    </w:p>
    <w:p w:rsidR="006B1029" w:rsidRPr="00F8558A" w:rsidRDefault="006B1029" w:rsidP="00B13D45">
      <w:pPr>
        <w:pStyle w:val="ListParagraph"/>
        <w:jc w:val="both"/>
      </w:pPr>
      <w:r w:rsidRPr="00F8558A">
        <w:t>Are we doing the right things?</w:t>
      </w:r>
    </w:p>
    <w:p w:rsidR="006B1029" w:rsidRPr="00DE7E00" w:rsidRDefault="006B1029" w:rsidP="00B13D45">
      <w:pPr>
        <w:pStyle w:val="ListParagraph"/>
        <w:jc w:val="both"/>
      </w:pPr>
      <w:r w:rsidRPr="00F8558A">
        <w:t>Are we doing them in the right way?</w:t>
      </w:r>
    </w:p>
    <w:p w:rsidR="006B1029" w:rsidRPr="00DE7E00" w:rsidRDefault="006B1029" w:rsidP="00B13D45">
      <w:pPr>
        <w:jc w:val="both"/>
      </w:pPr>
      <w:r w:rsidRPr="00DE7E00">
        <w:t>Internal audit’s involvement should be tailored to address these questions and to meet the unique risks of the program.</w:t>
      </w:r>
    </w:p>
    <w:p w:rsidR="006B1029" w:rsidRPr="00B56ED8" w:rsidRDefault="006B1029" w:rsidP="00B56ED8">
      <w:pPr>
        <w:pStyle w:val="Heading3"/>
        <w:spacing w:line="276" w:lineRule="auto"/>
        <w:ind w:right="0"/>
        <w:rPr>
          <w:rFonts w:ascii="Arial" w:hAnsi="Arial" w:cs="Arial"/>
          <w:i w:val="0"/>
          <w:color w:val="auto"/>
          <w:szCs w:val="22"/>
          <w:lang w:eastAsia="en-ZA"/>
        </w:rPr>
      </w:pPr>
      <w:r w:rsidRPr="00B56ED8">
        <w:rPr>
          <w:rFonts w:ascii="Arial" w:hAnsi="Arial" w:cs="Arial"/>
          <w:i w:val="0"/>
          <w:color w:val="auto"/>
          <w:szCs w:val="22"/>
          <w:lang w:eastAsia="en-ZA"/>
        </w:rPr>
        <w:t>Are we doing the right things?</w:t>
      </w:r>
    </w:p>
    <w:p w:rsidR="006B1029" w:rsidRPr="00E92612" w:rsidRDefault="006B1029" w:rsidP="00B13D45">
      <w:pPr>
        <w:pStyle w:val="Heading3"/>
        <w:jc w:val="both"/>
        <w:rPr>
          <w:color w:val="auto"/>
        </w:rPr>
      </w:pPr>
      <w:r w:rsidRPr="00E92612">
        <w:rPr>
          <w:color w:val="auto"/>
        </w:rPr>
        <w:t xml:space="preserve">Initial </w:t>
      </w:r>
      <w:r w:rsidRPr="00E92612">
        <w:rPr>
          <w:i w:val="0"/>
          <w:color w:val="auto"/>
        </w:rPr>
        <w:t>Risk Assessment of the Project</w:t>
      </w:r>
    </w:p>
    <w:p w:rsidR="006B1029" w:rsidRPr="00DE7E00" w:rsidRDefault="006B1029" w:rsidP="00B13D45">
      <w:pPr>
        <w:jc w:val="both"/>
        <w:rPr>
          <w:i/>
        </w:rPr>
      </w:pPr>
      <w:r w:rsidRPr="00DE7E00">
        <w:t xml:space="preserve">Through this step, Internal Audit can understand the key elements of the project, including approach, methodology, activities, timelines, resources and requirements. This step helps determine the specific processes and controls that are in place, and identifies the key risks </w:t>
      </w:r>
      <w:r>
        <w:t xml:space="preserve">for internal audit to </w:t>
      </w:r>
      <w:r w:rsidRPr="00DE7E00">
        <w:t xml:space="preserve">tailor the detailed checkpoint reviews to cover the risks. </w:t>
      </w:r>
    </w:p>
    <w:p w:rsidR="006B1029" w:rsidRPr="00E92612" w:rsidRDefault="006B1029" w:rsidP="00B13D45">
      <w:pPr>
        <w:pStyle w:val="Heading3"/>
        <w:jc w:val="both"/>
        <w:rPr>
          <w:color w:val="auto"/>
        </w:rPr>
      </w:pPr>
      <w:r w:rsidRPr="00E92612">
        <w:rPr>
          <w:color w:val="auto"/>
        </w:rPr>
        <w:t>Performing ongoing “Health Checks”</w:t>
      </w:r>
    </w:p>
    <w:p w:rsidR="006B1029" w:rsidRPr="00DE7E00" w:rsidRDefault="006B1029" w:rsidP="00B13D45">
      <w:pPr>
        <w:jc w:val="both"/>
      </w:pPr>
      <w:r>
        <w:t xml:space="preserve">Ongoing reviews by the internal audit assist in ensuring </w:t>
      </w:r>
      <w:r w:rsidRPr="00DE7E00">
        <w:t>the key risks related to the project scope, timelines, cost</w:t>
      </w:r>
      <w:r w:rsidR="00C5046B">
        <w:t>,</w:t>
      </w:r>
      <w:r w:rsidRPr="00DE7E00">
        <w:t xml:space="preserve"> and deliverables are identified and appropriately managed. </w:t>
      </w:r>
    </w:p>
    <w:p w:rsidR="006B1029" w:rsidRPr="00DE7E00" w:rsidRDefault="006B1029" w:rsidP="00B13D45">
      <w:pPr>
        <w:jc w:val="both"/>
      </w:pPr>
      <w:r w:rsidRPr="00DE7E00">
        <w:t>The timing and scope should be adjusted to address project risks, status, milestones and audit committee</w:t>
      </w:r>
      <w:r w:rsidR="00F55C7D">
        <w:t>-</w:t>
      </w:r>
      <w:r w:rsidRPr="00DE7E00">
        <w:t>, senior management</w:t>
      </w:r>
      <w:r w:rsidR="00F55C7D">
        <w:t>-</w:t>
      </w:r>
      <w:r w:rsidRPr="00DE7E00">
        <w:t xml:space="preserve"> or Council requirements, based on IA’s assessment.</w:t>
      </w:r>
    </w:p>
    <w:p w:rsidR="006B1029" w:rsidRPr="00B56ED8" w:rsidRDefault="006B1029" w:rsidP="00B56ED8">
      <w:pPr>
        <w:pStyle w:val="Heading3"/>
        <w:spacing w:line="276" w:lineRule="auto"/>
        <w:ind w:right="0"/>
        <w:rPr>
          <w:rFonts w:ascii="Arial" w:hAnsi="Arial" w:cs="Arial"/>
          <w:i w:val="0"/>
          <w:color w:val="auto"/>
          <w:szCs w:val="22"/>
          <w:lang w:eastAsia="en-ZA"/>
        </w:rPr>
      </w:pPr>
      <w:r w:rsidRPr="00B56ED8">
        <w:rPr>
          <w:rFonts w:ascii="Arial" w:hAnsi="Arial" w:cs="Arial"/>
          <w:i w:val="0"/>
          <w:color w:val="auto"/>
          <w:szCs w:val="22"/>
          <w:lang w:eastAsia="en-ZA"/>
        </w:rPr>
        <w:t xml:space="preserve">Are we doing the right things in the right way? </w:t>
      </w:r>
    </w:p>
    <w:p w:rsidR="006B1029" w:rsidRPr="00DE7E00" w:rsidRDefault="006B1029" w:rsidP="00B13D45">
      <w:pPr>
        <w:jc w:val="both"/>
      </w:pPr>
      <w:r w:rsidRPr="00DE7E00">
        <w:t>Risks can quickly become major issues during the course of large projects. It</w:t>
      </w:r>
      <w:r w:rsidR="00C5046B">
        <w:t xml:space="preserve"> is </w:t>
      </w:r>
      <w:r w:rsidRPr="00DE7E00">
        <w:t xml:space="preserve">imperative for </w:t>
      </w:r>
      <w:r w:rsidR="00151049">
        <w:t xml:space="preserve">internal audit </w:t>
      </w:r>
      <w:r w:rsidRPr="00DE7E00">
        <w:t xml:space="preserve">to be involved at the individual work stream level to help identify and monitor key risks. </w:t>
      </w:r>
      <w:r w:rsidR="001D1A2D">
        <w:t xml:space="preserve"> </w:t>
      </w:r>
      <w:r w:rsidRPr="00DE7E00">
        <w:t xml:space="preserve">The aspects of project management </w:t>
      </w:r>
      <w:r w:rsidR="001D1A2D">
        <w:t xml:space="preserve">listed in the paragraphs to follow </w:t>
      </w:r>
      <w:r w:rsidRPr="00DE7E00">
        <w:t>are critical success factors where</w:t>
      </w:r>
      <w:r w:rsidR="00151049">
        <w:t xml:space="preserve"> the internal auditors </w:t>
      </w:r>
      <w:r w:rsidRPr="00DE7E00">
        <w:t>can perform assurance</w:t>
      </w:r>
      <w:r w:rsidR="001D1A2D">
        <w:t xml:space="preserve"> or provide value-adding advice.</w:t>
      </w:r>
    </w:p>
    <w:p w:rsidR="006B1029" w:rsidRPr="00E92612" w:rsidRDefault="006B1029" w:rsidP="00B13D45">
      <w:pPr>
        <w:pStyle w:val="Heading3"/>
        <w:jc w:val="both"/>
        <w:rPr>
          <w:color w:val="auto"/>
        </w:rPr>
      </w:pPr>
      <w:r w:rsidRPr="00E92612">
        <w:rPr>
          <w:color w:val="auto"/>
        </w:rPr>
        <w:t xml:space="preserve">Business Case Validation </w:t>
      </w:r>
    </w:p>
    <w:p w:rsidR="006B1029" w:rsidRPr="00DE7E00" w:rsidRDefault="006B1029" w:rsidP="00B13D45">
      <w:pPr>
        <w:jc w:val="both"/>
      </w:pPr>
      <w:r w:rsidRPr="00DE7E00">
        <w:t xml:space="preserve">Even before the actual program begins, key questions, assumptions, analyses and other components of the business case may be misaligned with the corporate strategy, organisational structure and capability, technical complexity and competency or a number of other factors. </w:t>
      </w:r>
      <w:r w:rsidR="00151049">
        <w:t xml:space="preserve"> </w:t>
      </w:r>
    </w:p>
    <w:p w:rsidR="006B1029" w:rsidRPr="00DE7E00" w:rsidRDefault="006B1029" w:rsidP="00B13D45">
      <w:pPr>
        <w:jc w:val="both"/>
      </w:pPr>
      <w:r w:rsidRPr="00DE7E00">
        <w:t>Emerging trends relevant to the sector, forthcoming regulatory developments and evolving technology can also compromise elements of the business case.</w:t>
      </w:r>
      <w:r w:rsidR="00151049">
        <w:t xml:space="preserve"> </w:t>
      </w:r>
      <w:r w:rsidRPr="00DE7E00">
        <w:t xml:space="preserve"> Reference and validation back to the business case through the project lifecycle is a leading practice. </w:t>
      </w:r>
    </w:p>
    <w:p w:rsidR="006B1029" w:rsidRPr="001B14B7" w:rsidRDefault="00151049" w:rsidP="00B13D45">
      <w:pPr>
        <w:jc w:val="both"/>
      </w:pPr>
      <w:r w:rsidRPr="008C2F0B">
        <w:t xml:space="preserve">How can </w:t>
      </w:r>
      <w:r w:rsidR="001D1A2D">
        <w:t>internal</w:t>
      </w:r>
      <w:r w:rsidRPr="008C2F0B">
        <w:t xml:space="preserve"> </w:t>
      </w:r>
      <w:r w:rsidR="001D1A2D">
        <w:t>audit</w:t>
      </w:r>
      <w:r w:rsidRPr="008C2F0B">
        <w:t xml:space="preserve"> assist?</w:t>
      </w:r>
    </w:p>
    <w:p w:rsidR="006B1029" w:rsidRPr="00DE7E00" w:rsidRDefault="006B1029" w:rsidP="00B13D45">
      <w:pPr>
        <w:pStyle w:val="ListParagraph"/>
        <w:jc w:val="both"/>
      </w:pPr>
      <w:r w:rsidRPr="00DE7E00">
        <w:t>Evaluate the linkage between project metrics and strategy whe</w:t>
      </w:r>
      <w:r w:rsidR="00151049">
        <w:t>n the business case is prepared.</w:t>
      </w:r>
    </w:p>
    <w:p w:rsidR="006B1029" w:rsidRPr="00DE7E00" w:rsidRDefault="006B1029" w:rsidP="00B13D45">
      <w:pPr>
        <w:pStyle w:val="ListParagraph"/>
        <w:jc w:val="both"/>
      </w:pPr>
      <w:r w:rsidRPr="00DE7E00">
        <w:t>Evaluate individual components and challenge assumptions within the business case as it is presented</w:t>
      </w:r>
      <w:r w:rsidR="00151049">
        <w:t>.</w:t>
      </w:r>
    </w:p>
    <w:p w:rsidR="006B1029" w:rsidRPr="00DE7E00" w:rsidRDefault="006B1029" w:rsidP="00B13D45">
      <w:pPr>
        <w:pStyle w:val="ListParagraph"/>
        <w:jc w:val="both"/>
      </w:pPr>
      <w:r w:rsidRPr="00DE7E00">
        <w:t>Support the program team in the benefits tracking and realization process during project execution</w:t>
      </w:r>
      <w:r w:rsidR="00151049">
        <w:t>.</w:t>
      </w:r>
    </w:p>
    <w:p w:rsidR="006B1029" w:rsidRPr="00B56ED8" w:rsidRDefault="00151049" w:rsidP="00B56ED8">
      <w:pPr>
        <w:pStyle w:val="Heading2"/>
        <w:keepNext w:val="0"/>
        <w:keepLines w:val="0"/>
        <w:suppressAutoHyphens/>
        <w:autoSpaceDN w:val="0"/>
        <w:spacing w:before="240" w:after="240"/>
        <w:ind w:left="284" w:right="0" w:hanging="284"/>
        <w:textAlignment w:val="baseline"/>
        <w:rPr>
          <w:rFonts w:ascii="Arial" w:eastAsia="MS Mincho" w:hAnsi="Arial" w:cs="Arial"/>
          <w:bCs w:val="0"/>
          <w:color w:val="auto"/>
          <w:szCs w:val="24"/>
          <w:lang w:eastAsia="en-ZA"/>
        </w:rPr>
      </w:pPr>
      <w:bookmarkStart w:id="18" w:name="_Toc466031759"/>
      <w:bookmarkStart w:id="19" w:name="_Toc466031900"/>
      <w:bookmarkStart w:id="20" w:name="_Toc466032372"/>
      <w:r w:rsidRPr="00B56ED8">
        <w:rPr>
          <w:rFonts w:ascii="Arial" w:eastAsia="MS Mincho" w:hAnsi="Arial" w:cs="Arial"/>
          <w:bCs w:val="0"/>
          <w:color w:val="auto"/>
          <w:szCs w:val="24"/>
          <w:lang w:eastAsia="en-ZA"/>
        </w:rPr>
        <w:t>PROJECT IMPLEMENTATION: A PEOPLE, PROCESS, TECHNOLOGY AND RISK MANAGEMENT PERSPECTIVE</w:t>
      </w:r>
      <w:bookmarkEnd w:id="18"/>
      <w:bookmarkEnd w:id="19"/>
      <w:bookmarkEnd w:id="20"/>
      <w:r w:rsidRPr="00B56ED8">
        <w:rPr>
          <w:rFonts w:ascii="Arial" w:eastAsia="MS Mincho" w:hAnsi="Arial" w:cs="Arial"/>
          <w:bCs w:val="0"/>
          <w:color w:val="auto"/>
          <w:szCs w:val="24"/>
          <w:lang w:eastAsia="en-ZA"/>
        </w:rPr>
        <w:t xml:space="preserve"> </w:t>
      </w:r>
    </w:p>
    <w:p w:rsidR="006B1029" w:rsidRPr="00DE7E00" w:rsidRDefault="006B1029" w:rsidP="00B13D45">
      <w:pPr>
        <w:jc w:val="both"/>
        <w:rPr>
          <w:b/>
          <w:i/>
        </w:rPr>
      </w:pPr>
      <w:r w:rsidRPr="00DE7E00">
        <w:t>Large projects need to focus on successful process alignment, technology deployment, people engagement and risk management. There are some critical components that form part of the decision to go live and help the project stay on track.</w:t>
      </w:r>
      <w:r w:rsidR="00AC2E83">
        <w:t xml:space="preserve"> </w:t>
      </w:r>
      <w:r w:rsidRPr="00DE7E00">
        <w:t xml:space="preserve"> Internal Audit can help with both the decision to go live and </w:t>
      </w:r>
      <w:r w:rsidR="002408C1">
        <w:t xml:space="preserve">in </w:t>
      </w:r>
      <w:r w:rsidRPr="00DE7E00">
        <w:t>measuring the success of the program applying a lens of</w:t>
      </w:r>
      <w:r w:rsidR="001D1A2D">
        <w:t xml:space="preserve"> people, process and technology.</w:t>
      </w:r>
    </w:p>
    <w:p w:rsidR="006B1029" w:rsidRPr="00B56ED8" w:rsidRDefault="006B1029" w:rsidP="00B56ED8">
      <w:pPr>
        <w:pStyle w:val="Heading3"/>
        <w:spacing w:line="276" w:lineRule="auto"/>
        <w:ind w:right="0"/>
        <w:rPr>
          <w:rFonts w:ascii="Arial" w:hAnsi="Arial" w:cs="Arial"/>
          <w:i w:val="0"/>
          <w:color w:val="auto"/>
          <w:szCs w:val="22"/>
          <w:lang w:eastAsia="en-ZA"/>
        </w:rPr>
      </w:pPr>
      <w:r w:rsidRPr="00B56ED8">
        <w:rPr>
          <w:rFonts w:ascii="Arial" w:hAnsi="Arial" w:cs="Arial"/>
          <w:i w:val="0"/>
          <w:color w:val="auto"/>
          <w:szCs w:val="22"/>
          <w:lang w:eastAsia="en-ZA"/>
        </w:rPr>
        <w:t>Process</w:t>
      </w:r>
    </w:p>
    <w:p w:rsidR="006B1029" w:rsidRPr="00DE7E00" w:rsidRDefault="006B1029" w:rsidP="00B13D45">
      <w:pPr>
        <w:jc w:val="both"/>
      </w:pPr>
      <w:r w:rsidRPr="00DE7E00">
        <w:t>Internal Audit can help:</w:t>
      </w:r>
    </w:p>
    <w:p w:rsidR="006B1029" w:rsidRPr="00DE7E00" w:rsidRDefault="006B1029" w:rsidP="00B13D45">
      <w:pPr>
        <w:pStyle w:val="ListParagraph"/>
        <w:jc w:val="both"/>
      </w:pPr>
      <w:r w:rsidRPr="00DE7E00">
        <w:t>Verify that standard operating procedures are in place</w:t>
      </w:r>
      <w:r w:rsidR="001D1A2D">
        <w:t>.</w:t>
      </w:r>
    </w:p>
    <w:p w:rsidR="006B1029" w:rsidRPr="00DE7E00" w:rsidRDefault="006B1029" w:rsidP="00B13D45">
      <w:pPr>
        <w:pStyle w:val="ListParagraph"/>
        <w:jc w:val="both"/>
      </w:pPr>
      <w:r w:rsidRPr="00DE7E00">
        <w:t>Validate completion of testing and data conversion processes</w:t>
      </w:r>
      <w:r w:rsidR="001D1A2D">
        <w:t>.</w:t>
      </w:r>
    </w:p>
    <w:p w:rsidR="006B1029" w:rsidRPr="00DE7E00" w:rsidRDefault="006B1029" w:rsidP="00B13D45">
      <w:pPr>
        <w:pStyle w:val="ListParagraph"/>
        <w:jc w:val="both"/>
      </w:pPr>
      <w:r w:rsidRPr="00DE7E00">
        <w:t>Advise and help identify relevant key process-level risks and control gaps</w:t>
      </w:r>
      <w:r w:rsidR="001D1A2D">
        <w:t>.</w:t>
      </w:r>
    </w:p>
    <w:p w:rsidR="006B1029" w:rsidRPr="00DE7E00" w:rsidRDefault="006B1029" w:rsidP="00B13D45">
      <w:pPr>
        <w:pStyle w:val="ListParagraph"/>
        <w:jc w:val="both"/>
      </w:pPr>
      <w:r w:rsidRPr="00DE7E00">
        <w:t>Support the design of business process controls to mitigate process-level risks and provide certification analysis</w:t>
      </w:r>
      <w:r w:rsidR="001D1A2D">
        <w:t>.</w:t>
      </w:r>
    </w:p>
    <w:p w:rsidR="006B1029" w:rsidRPr="00DE7E00" w:rsidRDefault="006B1029" w:rsidP="00B13D45">
      <w:pPr>
        <w:pStyle w:val="ListParagraph"/>
        <w:jc w:val="both"/>
      </w:pPr>
      <w:r w:rsidRPr="00DE7E00">
        <w:t xml:space="preserve">Evaluate </w:t>
      </w:r>
      <w:r w:rsidR="00A757AC">
        <w:t>“</w:t>
      </w:r>
      <w:r w:rsidRPr="00DE7E00">
        <w:t>go-live</w:t>
      </w:r>
      <w:r w:rsidR="00A757AC">
        <w:t>”</w:t>
      </w:r>
      <w:r w:rsidRPr="00DE7E00">
        <w:t xml:space="preserve"> processes such as the creation of a transition team, parallel runs, crossover steps, contingency plans (including roll-back), end-user computing and output demands, risk management</w:t>
      </w:r>
      <w:r w:rsidR="000A7B8E">
        <w:t>,</w:t>
      </w:r>
      <w:r w:rsidRPr="00DE7E00">
        <w:t xml:space="preserve"> and </w:t>
      </w:r>
      <w:r w:rsidR="001D1A2D">
        <w:t>issue escalation and resolution.</w:t>
      </w:r>
    </w:p>
    <w:p w:rsidR="006B1029" w:rsidRPr="00DE7E00" w:rsidRDefault="006B1029" w:rsidP="00B13D45">
      <w:pPr>
        <w:pStyle w:val="ListParagraph"/>
        <w:jc w:val="both"/>
      </w:pPr>
      <w:r w:rsidRPr="00DE7E00">
        <w:t>Evaluate transition plans and identify any operational and organisational issues that are critical to launch</w:t>
      </w:r>
      <w:r w:rsidR="001D1A2D">
        <w:t>.</w:t>
      </w:r>
    </w:p>
    <w:p w:rsidR="006B1029" w:rsidRPr="00DE7E00" w:rsidRDefault="006B1029" w:rsidP="00B13D45">
      <w:pPr>
        <w:pStyle w:val="ListParagraph"/>
        <w:jc w:val="both"/>
      </w:pPr>
      <w:r w:rsidRPr="00DE7E00">
        <w:t xml:space="preserve">Assess whether any duplications </w:t>
      </w:r>
      <w:r w:rsidR="001D1A2D" w:rsidRPr="00DE7E00">
        <w:t>exist</w:t>
      </w:r>
      <w:r w:rsidRPr="00DE7E00">
        <w:t xml:space="preserve"> in systems or efforts</w:t>
      </w:r>
      <w:r w:rsidR="00843DF9">
        <w:t>.</w:t>
      </w:r>
    </w:p>
    <w:p w:rsidR="006B1029" w:rsidRPr="00DE7E00" w:rsidRDefault="006B1029" w:rsidP="00B13D45">
      <w:pPr>
        <w:pStyle w:val="ListParagraph"/>
        <w:jc w:val="both"/>
      </w:pPr>
      <w:r w:rsidRPr="00DE7E00">
        <w:t>Ensure interdependent risks are being managed</w:t>
      </w:r>
      <w:r w:rsidR="00843DF9">
        <w:t>.</w:t>
      </w:r>
    </w:p>
    <w:p w:rsidR="006B1029" w:rsidRPr="00B56ED8" w:rsidRDefault="006B1029" w:rsidP="00B56ED8">
      <w:pPr>
        <w:pStyle w:val="Heading3"/>
        <w:spacing w:line="276" w:lineRule="auto"/>
        <w:ind w:right="0"/>
        <w:rPr>
          <w:rFonts w:ascii="Arial" w:hAnsi="Arial" w:cs="Arial"/>
          <w:i w:val="0"/>
          <w:color w:val="auto"/>
          <w:szCs w:val="22"/>
          <w:lang w:eastAsia="en-ZA"/>
        </w:rPr>
      </w:pPr>
      <w:r w:rsidRPr="00B56ED8">
        <w:rPr>
          <w:rFonts w:ascii="Arial" w:hAnsi="Arial" w:cs="Arial"/>
          <w:i w:val="0"/>
          <w:color w:val="auto"/>
          <w:szCs w:val="22"/>
          <w:lang w:eastAsia="en-ZA"/>
        </w:rPr>
        <w:t xml:space="preserve">Technology  </w:t>
      </w:r>
    </w:p>
    <w:p w:rsidR="006B1029" w:rsidRPr="00DE7E00" w:rsidRDefault="006B1029" w:rsidP="00B13D45">
      <w:pPr>
        <w:jc w:val="both"/>
      </w:pPr>
      <w:r w:rsidRPr="00DE7E00">
        <w:t>Internal Audit can help:</w:t>
      </w:r>
    </w:p>
    <w:p w:rsidR="006B1029" w:rsidRPr="00DE7E00" w:rsidRDefault="006B1029" w:rsidP="00B13D45">
      <w:pPr>
        <w:pStyle w:val="ListParagraph"/>
        <w:jc w:val="both"/>
      </w:pPr>
      <w:r w:rsidRPr="00DE7E00">
        <w:t>Ensure that functional needs, including forms and reports, are in place</w:t>
      </w:r>
      <w:r w:rsidR="00843DF9">
        <w:t>.</w:t>
      </w:r>
    </w:p>
    <w:p w:rsidR="006B1029" w:rsidRPr="00DE7E00" w:rsidRDefault="006B1029" w:rsidP="00B13D45">
      <w:pPr>
        <w:pStyle w:val="ListParagraph"/>
        <w:jc w:val="both"/>
      </w:pPr>
      <w:r w:rsidRPr="00DE7E00">
        <w:t xml:space="preserve">Audit hardware and software environment (operating system, network, user workstations, </w:t>
      </w:r>
      <w:proofErr w:type="gramStart"/>
      <w:r w:rsidRPr="00DE7E00">
        <w:t>printers</w:t>
      </w:r>
      <w:proofErr w:type="gramEnd"/>
      <w:r w:rsidRPr="00DE7E00">
        <w:t>)</w:t>
      </w:r>
      <w:r w:rsidR="00843DF9">
        <w:t>.</w:t>
      </w:r>
    </w:p>
    <w:p w:rsidR="006B1029" w:rsidRPr="00DE7E00" w:rsidRDefault="006B1029" w:rsidP="00B13D45">
      <w:pPr>
        <w:pStyle w:val="ListParagraph"/>
        <w:jc w:val="both"/>
      </w:pPr>
      <w:r w:rsidRPr="00DE7E00">
        <w:t>Check interface projects</w:t>
      </w:r>
      <w:r w:rsidR="00843DF9">
        <w:t>.</w:t>
      </w:r>
    </w:p>
    <w:p w:rsidR="006B1029" w:rsidRPr="00DE7E00" w:rsidRDefault="006B1029" w:rsidP="00B13D45">
      <w:pPr>
        <w:pStyle w:val="ListParagraph"/>
        <w:jc w:val="both"/>
      </w:pPr>
      <w:r w:rsidRPr="00DE7E00">
        <w:t>Measure application, operating system and network security</w:t>
      </w:r>
      <w:r w:rsidR="00843DF9">
        <w:t>.</w:t>
      </w:r>
    </w:p>
    <w:p w:rsidR="006B1029" w:rsidRPr="00DE7E00" w:rsidRDefault="006B1029" w:rsidP="00B13D45">
      <w:pPr>
        <w:pStyle w:val="ListParagraph"/>
        <w:jc w:val="both"/>
      </w:pPr>
      <w:r w:rsidRPr="00DE7E00">
        <w:t>Evaluate transition plans for technical processes and data</w:t>
      </w:r>
      <w:r w:rsidR="00843DF9">
        <w:t>.</w:t>
      </w:r>
    </w:p>
    <w:p w:rsidR="006B1029" w:rsidRPr="00DE7E00" w:rsidRDefault="006B1029" w:rsidP="00B13D45">
      <w:pPr>
        <w:pStyle w:val="ListParagraph"/>
        <w:jc w:val="both"/>
      </w:pPr>
      <w:r w:rsidRPr="00DE7E00">
        <w:t>Evaluate IT system integration and data migration in terms of both quality and security</w:t>
      </w:r>
      <w:r w:rsidR="00843DF9">
        <w:t>.</w:t>
      </w:r>
      <w:r w:rsidRPr="00DE7E00">
        <w:t xml:space="preserve"> </w:t>
      </w:r>
    </w:p>
    <w:p w:rsidR="006B1029" w:rsidRPr="00DE7E00" w:rsidRDefault="006B1029" w:rsidP="00B13D45">
      <w:pPr>
        <w:pStyle w:val="ListParagraph"/>
        <w:jc w:val="both"/>
      </w:pPr>
      <w:r w:rsidRPr="00DE7E00">
        <w:t>Validate and track benefits and cost savings</w:t>
      </w:r>
      <w:r w:rsidR="00843DF9">
        <w:t>.</w:t>
      </w:r>
    </w:p>
    <w:p w:rsidR="006B1029" w:rsidRPr="00B56ED8" w:rsidRDefault="002F3036" w:rsidP="00B56ED8">
      <w:pPr>
        <w:pStyle w:val="Heading3"/>
        <w:spacing w:line="276" w:lineRule="auto"/>
        <w:ind w:right="0"/>
        <w:rPr>
          <w:rFonts w:ascii="Arial" w:hAnsi="Arial" w:cs="Arial"/>
          <w:i w:val="0"/>
          <w:color w:val="auto"/>
          <w:szCs w:val="22"/>
          <w:lang w:eastAsia="en-ZA"/>
        </w:rPr>
      </w:pPr>
      <w:r w:rsidRPr="00B56ED8">
        <w:rPr>
          <w:rFonts w:ascii="Arial" w:hAnsi="Arial" w:cs="Arial"/>
          <w:i w:val="0"/>
          <w:color w:val="auto"/>
          <w:szCs w:val="22"/>
          <w:lang w:eastAsia="en-ZA"/>
        </w:rPr>
        <w:t>P</w:t>
      </w:r>
      <w:r w:rsidR="006B1029" w:rsidRPr="00B56ED8">
        <w:rPr>
          <w:rFonts w:ascii="Arial" w:hAnsi="Arial" w:cs="Arial"/>
          <w:i w:val="0"/>
          <w:color w:val="auto"/>
          <w:szCs w:val="22"/>
          <w:lang w:eastAsia="en-ZA"/>
        </w:rPr>
        <w:t xml:space="preserve">eople  </w:t>
      </w:r>
    </w:p>
    <w:p w:rsidR="006B1029" w:rsidRPr="00DE7E00" w:rsidRDefault="006B1029" w:rsidP="00B13D45">
      <w:pPr>
        <w:jc w:val="both"/>
      </w:pPr>
      <w:r w:rsidRPr="00DE7E00">
        <w:t>Internal Audit can help:</w:t>
      </w:r>
    </w:p>
    <w:p w:rsidR="006B1029" w:rsidRPr="00DE7E00" w:rsidRDefault="006B1029" w:rsidP="00B13D45">
      <w:pPr>
        <w:pStyle w:val="ListParagraph"/>
        <w:jc w:val="both"/>
      </w:pPr>
      <w:r w:rsidRPr="00DE7E00">
        <w:t>Check whether end-user training and guides, including transition readiness are in place</w:t>
      </w:r>
      <w:r w:rsidR="00843DF9">
        <w:t>.</w:t>
      </w:r>
    </w:p>
    <w:p w:rsidR="006B1029" w:rsidRPr="00DE7E00" w:rsidRDefault="006B1029" w:rsidP="00B13D45">
      <w:pPr>
        <w:pStyle w:val="ListParagraph"/>
        <w:jc w:val="both"/>
      </w:pPr>
      <w:r w:rsidRPr="00DE7E00">
        <w:t xml:space="preserve">Provide </w:t>
      </w:r>
      <w:r w:rsidR="00AB3F80">
        <w:t>an</w:t>
      </w:r>
      <w:r w:rsidR="00AB3F80" w:rsidRPr="00DE7E00">
        <w:t xml:space="preserve"> </w:t>
      </w:r>
      <w:r w:rsidRPr="00DE7E00">
        <w:t>analysis on post-implementation sustainability</w:t>
      </w:r>
      <w:r w:rsidR="00843DF9">
        <w:t>.</w:t>
      </w:r>
      <w:r w:rsidRPr="00DE7E00">
        <w:t xml:space="preserve"> </w:t>
      </w:r>
    </w:p>
    <w:p w:rsidR="006B1029" w:rsidRPr="00DE7E00" w:rsidRDefault="006B1029" w:rsidP="00B13D45">
      <w:pPr>
        <w:pStyle w:val="ListParagraph"/>
        <w:jc w:val="both"/>
      </w:pPr>
      <w:r w:rsidRPr="00DE7E00">
        <w:t>Measure resource utili</w:t>
      </w:r>
      <w:r w:rsidR="00843DF9">
        <w:t>s</w:t>
      </w:r>
      <w:r w:rsidRPr="00DE7E00">
        <w:t>ation</w:t>
      </w:r>
      <w:r w:rsidR="00843DF9">
        <w:t>.</w:t>
      </w:r>
      <w:r w:rsidRPr="00DE7E00">
        <w:t xml:space="preserve"> </w:t>
      </w:r>
    </w:p>
    <w:p w:rsidR="006B1029" w:rsidRPr="00DE7E00" w:rsidRDefault="006B1029" w:rsidP="00B13D45">
      <w:pPr>
        <w:pStyle w:val="ListParagraph"/>
        <w:jc w:val="both"/>
      </w:pPr>
      <w:r w:rsidRPr="00DE7E00">
        <w:t>Control and assess culture within the organisation</w:t>
      </w:r>
      <w:r w:rsidR="00843DF9">
        <w:t>.</w:t>
      </w:r>
      <w:r w:rsidRPr="00DE7E00">
        <w:t xml:space="preserve"> </w:t>
      </w:r>
    </w:p>
    <w:p w:rsidR="006B1029" w:rsidRPr="00DE7E00" w:rsidRDefault="006B1029" w:rsidP="00B13D45">
      <w:pPr>
        <w:pStyle w:val="ListParagraph"/>
        <w:jc w:val="both"/>
      </w:pPr>
      <w:r w:rsidRPr="00DE7E00">
        <w:t>Analyse whether skills and capability of the team</w:t>
      </w:r>
      <w:r w:rsidR="00843DF9">
        <w:t xml:space="preserve"> are well suited to the project.</w:t>
      </w:r>
    </w:p>
    <w:p w:rsidR="006B1029" w:rsidRPr="00B56ED8" w:rsidRDefault="006B1029" w:rsidP="00B56ED8">
      <w:pPr>
        <w:pStyle w:val="Heading3"/>
        <w:spacing w:line="276" w:lineRule="auto"/>
        <w:ind w:right="0"/>
        <w:rPr>
          <w:rFonts w:ascii="Arial" w:hAnsi="Arial" w:cs="Arial"/>
          <w:i w:val="0"/>
          <w:color w:val="auto"/>
          <w:szCs w:val="22"/>
          <w:lang w:eastAsia="en-ZA"/>
        </w:rPr>
      </w:pPr>
      <w:r w:rsidRPr="00B56ED8">
        <w:rPr>
          <w:rFonts w:ascii="Arial" w:hAnsi="Arial" w:cs="Arial"/>
          <w:i w:val="0"/>
          <w:color w:val="auto"/>
          <w:szCs w:val="22"/>
          <w:lang w:eastAsia="en-ZA"/>
        </w:rPr>
        <w:t xml:space="preserve">Risk Management </w:t>
      </w:r>
    </w:p>
    <w:p w:rsidR="006B1029" w:rsidRPr="00DE7E00" w:rsidRDefault="006B1029" w:rsidP="00B13D45">
      <w:pPr>
        <w:jc w:val="both"/>
      </w:pPr>
      <w:r w:rsidRPr="00DE7E00">
        <w:t>Internal Audit can help:</w:t>
      </w:r>
    </w:p>
    <w:p w:rsidR="006B1029" w:rsidRPr="00DE7E00" w:rsidRDefault="006B1029" w:rsidP="00B13D45">
      <w:pPr>
        <w:pStyle w:val="ListParagraph"/>
        <w:jc w:val="both"/>
      </w:pPr>
      <w:r w:rsidRPr="00DE7E00">
        <w:t>Be the eyes and ears of the audit committee</w:t>
      </w:r>
      <w:r w:rsidR="00843DF9">
        <w:t>.</w:t>
      </w:r>
    </w:p>
    <w:p w:rsidR="006B1029" w:rsidRPr="00DE7E00" w:rsidRDefault="006B1029" w:rsidP="00B13D45">
      <w:pPr>
        <w:pStyle w:val="ListParagraph"/>
        <w:jc w:val="both"/>
      </w:pPr>
      <w:r w:rsidRPr="00DE7E00">
        <w:t>Evaluate the risks inherent in the conversion process</w:t>
      </w:r>
      <w:r w:rsidR="00843DF9">
        <w:t>.</w:t>
      </w:r>
      <w:r w:rsidRPr="00DE7E00">
        <w:t xml:space="preserve"> </w:t>
      </w:r>
    </w:p>
    <w:p w:rsidR="006B1029" w:rsidRPr="00DE7E00" w:rsidRDefault="006B1029" w:rsidP="00B13D45">
      <w:pPr>
        <w:pStyle w:val="ListParagraph"/>
        <w:jc w:val="both"/>
      </w:pPr>
      <w:r w:rsidRPr="00DE7E00">
        <w:t>Monitor changes to the overall organisation risk profile</w:t>
      </w:r>
      <w:r w:rsidR="00843DF9">
        <w:t>.</w:t>
      </w:r>
    </w:p>
    <w:p w:rsidR="006B1029" w:rsidRPr="00DE7E00" w:rsidRDefault="006B1029" w:rsidP="00B13D45">
      <w:pPr>
        <w:pStyle w:val="ListParagraph"/>
        <w:jc w:val="both"/>
      </w:pPr>
      <w:r w:rsidRPr="00DE7E00">
        <w:t>Re-prioritise audit focus, as appropriate, given the demands of conversion</w:t>
      </w:r>
      <w:r w:rsidR="00843DF9">
        <w:t>.</w:t>
      </w:r>
    </w:p>
    <w:p w:rsidR="006B1029" w:rsidRPr="00DE7E00" w:rsidRDefault="006B1029" w:rsidP="00B13D45">
      <w:pPr>
        <w:pStyle w:val="ListParagraph"/>
        <w:jc w:val="both"/>
      </w:pPr>
      <w:r w:rsidRPr="00DE7E00">
        <w:t>Communicate audit plan focus and changes to the audit committee</w:t>
      </w:r>
      <w:r w:rsidR="00843DF9">
        <w:t>.</w:t>
      </w:r>
    </w:p>
    <w:p w:rsidR="006B1029" w:rsidRPr="00DE7E00" w:rsidRDefault="006B1029" w:rsidP="00B13D45">
      <w:pPr>
        <w:pStyle w:val="ListParagraph"/>
        <w:jc w:val="both"/>
      </w:pPr>
      <w:r w:rsidRPr="00DE7E00">
        <w:t>Collaborate and coordinate with other risk management functions</w:t>
      </w:r>
      <w:r w:rsidR="00843DF9">
        <w:t>.</w:t>
      </w:r>
    </w:p>
    <w:p w:rsidR="006B1029" w:rsidRPr="008C2F0B" w:rsidRDefault="006B1029" w:rsidP="00B13D45">
      <w:pPr>
        <w:pStyle w:val="ListParagraph"/>
        <w:jc w:val="both"/>
      </w:pPr>
      <w:r w:rsidRPr="00DE7E00">
        <w:t>Monitor the conversion impact on the internal controls</w:t>
      </w:r>
      <w:r w:rsidR="00843DF9">
        <w:t>.</w:t>
      </w:r>
    </w:p>
    <w:p w:rsidR="00843DF9" w:rsidRPr="00B56ED8" w:rsidRDefault="00843DF9" w:rsidP="00B56ED8">
      <w:pPr>
        <w:pStyle w:val="Heading2"/>
        <w:keepNext w:val="0"/>
        <w:keepLines w:val="0"/>
        <w:suppressAutoHyphens/>
        <w:autoSpaceDN w:val="0"/>
        <w:spacing w:before="240" w:after="240"/>
        <w:ind w:left="284" w:right="0" w:hanging="284"/>
        <w:textAlignment w:val="baseline"/>
        <w:rPr>
          <w:rFonts w:ascii="Arial" w:eastAsia="MS Mincho" w:hAnsi="Arial" w:cs="Arial"/>
          <w:bCs w:val="0"/>
          <w:color w:val="auto"/>
          <w:szCs w:val="24"/>
          <w:lang w:eastAsia="en-ZA"/>
        </w:rPr>
      </w:pPr>
      <w:bookmarkStart w:id="21" w:name="_Toc466031760"/>
      <w:bookmarkStart w:id="22" w:name="_Toc466031901"/>
      <w:bookmarkStart w:id="23" w:name="_Toc466032373"/>
      <w:r w:rsidRPr="00B56ED8">
        <w:rPr>
          <w:rFonts w:ascii="Arial" w:eastAsia="MS Mincho" w:hAnsi="Arial" w:cs="Arial"/>
          <w:bCs w:val="0"/>
          <w:color w:val="auto"/>
          <w:szCs w:val="24"/>
          <w:lang w:eastAsia="en-ZA"/>
        </w:rPr>
        <w:t>THE ROLE OF INTERNAL AUDIT IN SYSTEM CONVERSION OR RE-IMPLEMENTATION</w:t>
      </w:r>
      <w:bookmarkEnd w:id="21"/>
      <w:bookmarkEnd w:id="22"/>
      <w:bookmarkEnd w:id="23"/>
      <w:r w:rsidRPr="00B56ED8">
        <w:rPr>
          <w:rFonts w:ascii="Arial" w:eastAsia="MS Mincho" w:hAnsi="Arial" w:cs="Arial"/>
          <w:bCs w:val="0"/>
          <w:color w:val="auto"/>
          <w:szCs w:val="24"/>
          <w:lang w:eastAsia="en-ZA"/>
        </w:rPr>
        <w:t xml:space="preserve">  </w:t>
      </w:r>
    </w:p>
    <w:p w:rsidR="00160775" w:rsidRDefault="002F7428" w:rsidP="00B13D45">
      <w:pPr>
        <w:jc w:val="both"/>
      </w:pPr>
      <w:r>
        <w:t xml:space="preserve">Internal auditors play a valuable role in ensuring that </w:t>
      </w:r>
      <w:r w:rsidR="007D3368">
        <w:t>information technology (</w:t>
      </w:r>
      <w:r>
        <w:t>IT</w:t>
      </w:r>
      <w:r w:rsidR="007D3368">
        <w:t>)</w:t>
      </w:r>
      <w:r>
        <w:t xml:space="preserve"> investments are well-managed and have a positive impact on the environment.  Their assurance role supports senior management, the audit committee, the council and other stakeholders.  Internal auditors follow a risk-based approach in planning their audit activities.  Audit best practices suggest internal auditors should be involved throughout a project’s life </w:t>
      </w:r>
      <w:r w:rsidR="003C0B63">
        <w:t>cycle -</w:t>
      </w:r>
      <w:r w:rsidR="00F723CD">
        <w:t xml:space="preserve"> </w:t>
      </w:r>
      <w:r>
        <w:t xml:space="preserve">not just in post-implementation assessments. </w:t>
      </w:r>
    </w:p>
    <w:p w:rsidR="00160775" w:rsidRDefault="002F7428" w:rsidP="00B13D45">
      <w:pPr>
        <w:jc w:val="both"/>
      </w:pPr>
      <w:r>
        <w:t>Converting from old to new systems is an important aspect of the audit planning process</w:t>
      </w:r>
      <w:r w:rsidR="00F33A76">
        <w:t>,</w:t>
      </w:r>
      <w:r>
        <w:t xml:space="preserve"> not to be underestimated.  Implementing a new system usually requires a variety of system changes; production data conversion and migration</w:t>
      </w:r>
      <w:r w:rsidR="004B5763">
        <w:t>;</w:t>
      </w:r>
      <w:r>
        <w:t xml:space="preserve"> new operational policies and procedures.  Each of these areas poses significant risk to the municipal</w:t>
      </w:r>
      <w:r w:rsidR="00F33A76">
        <w:t>ity</w:t>
      </w:r>
      <w:r>
        <w:t xml:space="preserve"> during the actual system conversion.  Consequently, conversion audit efforts typically focus on reviewing plans and results for:</w:t>
      </w:r>
    </w:p>
    <w:p w:rsidR="00160775" w:rsidRDefault="00F91134" w:rsidP="00B13D45">
      <w:pPr>
        <w:pStyle w:val="ListParagraph"/>
        <w:jc w:val="both"/>
      </w:pPr>
      <w:r w:rsidRPr="00D11CDE">
        <w:t>The overall implementation of the IT solution.</w:t>
      </w:r>
    </w:p>
    <w:p w:rsidR="00160775" w:rsidRDefault="00725A51" w:rsidP="00B13D45">
      <w:pPr>
        <w:pStyle w:val="ListParagraph"/>
        <w:jc w:val="both"/>
      </w:pPr>
      <w:r w:rsidRPr="00D11CDE">
        <w:t>The systems that are required to implement the IT solution</w:t>
      </w:r>
      <w:r w:rsidR="00843DF9">
        <w:t>.</w:t>
      </w:r>
    </w:p>
    <w:p w:rsidR="00160775" w:rsidRDefault="00725A51" w:rsidP="00B13D45">
      <w:pPr>
        <w:pStyle w:val="ListParagraph"/>
        <w:jc w:val="both"/>
      </w:pPr>
      <w:r w:rsidRPr="00D11CDE">
        <w:t>The operational changes required within the municipality as part of the implementation.</w:t>
      </w:r>
    </w:p>
    <w:p w:rsidR="00160775" w:rsidRDefault="00725A51" w:rsidP="00B13D45">
      <w:pPr>
        <w:jc w:val="both"/>
      </w:pPr>
      <w:r>
        <w:t>When planning system conversion audits, internal auditors need a good understanding of the business requirements for the system, the project’s risks and how the proposed system will</w:t>
      </w:r>
      <w:r w:rsidR="00F33A76">
        <w:t xml:space="preserve"> work</w:t>
      </w:r>
      <w:r>
        <w:t xml:space="preserve">.  To understand the solution, they must identify the various operational and system changes that will be implemented.  </w:t>
      </w:r>
      <w:r w:rsidR="00F723CD">
        <w:t>P</w:t>
      </w:r>
      <w:r>
        <w:t xml:space="preserve">roject information </w:t>
      </w:r>
      <w:r w:rsidR="00F723CD">
        <w:t>may become</w:t>
      </w:r>
      <w:r>
        <w:t xml:space="preserve"> available over </w:t>
      </w:r>
      <w:r w:rsidR="00F723CD">
        <w:t>time;</w:t>
      </w:r>
      <w:r>
        <w:t xml:space="preserve"> some audit planning will have to be completed on an interactive basis.</w:t>
      </w:r>
      <w:r w:rsidR="006F297A">
        <w:t xml:space="preserve">  </w:t>
      </w:r>
    </w:p>
    <w:p w:rsidR="00160775" w:rsidRDefault="00B829C0" w:rsidP="00B13D45">
      <w:pPr>
        <w:jc w:val="both"/>
        <w:rPr>
          <w:lang w:eastAsia="en-ZA"/>
        </w:rPr>
      </w:pPr>
      <w:r w:rsidRPr="00AE6140">
        <w:rPr>
          <w:lang w:eastAsia="en-ZA"/>
        </w:rPr>
        <w:t>Conve</w:t>
      </w:r>
      <w:r w:rsidR="00F723CD">
        <w:rPr>
          <w:lang w:eastAsia="en-ZA"/>
        </w:rPr>
        <w:t>rsion audits should be done commencing</w:t>
      </w:r>
      <w:r w:rsidRPr="00AE6140">
        <w:rPr>
          <w:lang w:eastAsia="en-ZA"/>
        </w:rPr>
        <w:t xml:space="preserve"> with the project planning</w:t>
      </w:r>
      <w:r w:rsidR="00CD303C">
        <w:rPr>
          <w:lang w:eastAsia="en-ZA"/>
        </w:rPr>
        <w:t>,</w:t>
      </w:r>
      <w:r w:rsidRPr="00AE6140">
        <w:rPr>
          <w:lang w:eastAsia="en-ZA"/>
        </w:rPr>
        <w:t xml:space="preserve"> and frequent and timely reporting of the findings. </w:t>
      </w:r>
      <w:r>
        <w:rPr>
          <w:lang w:eastAsia="en-ZA"/>
        </w:rPr>
        <w:t xml:space="preserve"> </w:t>
      </w:r>
      <w:r w:rsidRPr="00AE6140">
        <w:rPr>
          <w:lang w:eastAsia="en-ZA"/>
        </w:rPr>
        <w:t>Being involved early in the project initiative is vital to developing a good understanding of the project's issues, challenges, and risks, as well as what management is doing to address them.</w:t>
      </w:r>
      <w:r w:rsidR="006F297A">
        <w:rPr>
          <w:lang w:eastAsia="en-ZA"/>
        </w:rPr>
        <w:t xml:space="preserve">  </w:t>
      </w:r>
      <w:r w:rsidR="006F297A">
        <w:t xml:space="preserve">Ideally the audit activity need to be scoped from the business plan or case for change, </w:t>
      </w:r>
      <w:r w:rsidR="00622154">
        <w:t xml:space="preserve">council as early as possible, </w:t>
      </w:r>
      <w:r w:rsidR="006F297A">
        <w:t xml:space="preserve">before it is approved by the municipalities executives or where applicable.  </w:t>
      </w:r>
    </w:p>
    <w:p w:rsidR="00160775" w:rsidRDefault="00F723CD" w:rsidP="00B13D45">
      <w:pPr>
        <w:jc w:val="both"/>
        <w:rPr>
          <w:lang w:eastAsia="en-ZA"/>
        </w:rPr>
      </w:pPr>
      <w:r>
        <w:rPr>
          <w:lang w:eastAsia="en-ZA"/>
        </w:rPr>
        <w:t>A good</w:t>
      </w:r>
      <w:r w:rsidR="00B829C0" w:rsidRPr="00AE6140">
        <w:rPr>
          <w:lang w:eastAsia="en-ZA"/>
        </w:rPr>
        <w:t xml:space="preserve"> audit practice is to complete a short "lessons learned" review of the audit efforts performed throughout the conversion audit and apply them to the generic conversion audit process</w:t>
      </w:r>
      <w:r>
        <w:rPr>
          <w:lang w:eastAsia="en-ZA"/>
        </w:rPr>
        <w:t>.</w:t>
      </w:r>
    </w:p>
    <w:p w:rsidR="00160775" w:rsidRDefault="00B829C0" w:rsidP="00B13D45">
      <w:pPr>
        <w:jc w:val="both"/>
        <w:rPr>
          <w:lang w:eastAsia="en-ZA"/>
        </w:rPr>
      </w:pPr>
      <w:r w:rsidRPr="00AE6140">
        <w:rPr>
          <w:lang w:eastAsia="en-ZA"/>
        </w:rPr>
        <w:t xml:space="preserve">Internal auditors should determine their level of involvement and approach during the project's initiation phase. </w:t>
      </w:r>
      <w:r>
        <w:rPr>
          <w:lang w:eastAsia="en-ZA"/>
        </w:rPr>
        <w:t xml:space="preserve"> </w:t>
      </w:r>
      <w:r w:rsidRPr="00AE6140">
        <w:rPr>
          <w:lang w:eastAsia="en-ZA"/>
        </w:rPr>
        <w:t>The audit involvement decision should be based on the project</w:t>
      </w:r>
      <w:r w:rsidR="00CD303C">
        <w:rPr>
          <w:lang w:eastAsia="en-ZA"/>
        </w:rPr>
        <w:t>’s</w:t>
      </w:r>
      <w:r w:rsidRPr="00AE6140">
        <w:rPr>
          <w:lang w:eastAsia="en-ZA"/>
        </w:rPr>
        <w:t xml:space="preserve"> risk assessment, as well as factors such as the project team's project management experience, level of management involvement, size and complexity of the initiative, and impact on the organization </w:t>
      </w:r>
      <w:r w:rsidR="005A0731">
        <w:rPr>
          <w:lang w:eastAsia="en-ZA"/>
        </w:rPr>
        <w:t>should</w:t>
      </w:r>
      <w:r w:rsidRPr="00AE6140">
        <w:rPr>
          <w:lang w:eastAsia="en-ZA"/>
        </w:rPr>
        <w:t xml:space="preserve"> the initiative</w:t>
      </w:r>
      <w:r w:rsidR="005A0731">
        <w:rPr>
          <w:lang w:eastAsia="en-ZA"/>
        </w:rPr>
        <w:t xml:space="preserve"> be </w:t>
      </w:r>
      <w:r w:rsidRPr="00AE6140">
        <w:rPr>
          <w:lang w:eastAsia="en-ZA"/>
        </w:rPr>
        <w:t xml:space="preserve">delayed or unsuccessfully implemented. </w:t>
      </w:r>
      <w:r>
        <w:rPr>
          <w:lang w:eastAsia="en-ZA"/>
        </w:rPr>
        <w:t xml:space="preserve"> </w:t>
      </w:r>
    </w:p>
    <w:p w:rsidR="00160775" w:rsidRDefault="00B829C0" w:rsidP="00B13D45">
      <w:pPr>
        <w:jc w:val="both"/>
        <w:rPr>
          <w:lang w:eastAsia="en-ZA"/>
        </w:rPr>
      </w:pPr>
      <w:r w:rsidRPr="00AE6140">
        <w:rPr>
          <w:lang w:eastAsia="en-ZA"/>
        </w:rPr>
        <w:t xml:space="preserve">The most appropriate audit approach needs to be defined during the audit project planning phase. </w:t>
      </w:r>
      <w:r>
        <w:rPr>
          <w:lang w:eastAsia="en-ZA"/>
        </w:rPr>
        <w:t xml:space="preserve"> </w:t>
      </w:r>
      <w:r w:rsidRPr="00AE6140">
        <w:rPr>
          <w:lang w:eastAsia="en-ZA"/>
        </w:rPr>
        <w:t xml:space="preserve">Following step 1 of the generic eight-step audit process will complete the definition of audit's level of involvement. </w:t>
      </w:r>
      <w:r>
        <w:rPr>
          <w:lang w:eastAsia="en-ZA"/>
        </w:rPr>
        <w:t xml:space="preserve"> </w:t>
      </w:r>
      <w:r w:rsidRPr="00AE6140">
        <w:rPr>
          <w:lang w:eastAsia="en-ZA"/>
        </w:rPr>
        <w:t>Further adjustment of audit involvement may be required depending on the results of the project’s efforts and auditors' assessment throu</w:t>
      </w:r>
      <w:r>
        <w:rPr>
          <w:lang w:eastAsia="en-ZA"/>
        </w:rPr>
        <w:t xml:space="preserve">ghout the project's life cycle.  </w:t>
      </w:r>
      <w:r w:rsidRPr="00AE6140">
        <w:rPr>
          <w:lang w:eastAsia="en-ZA"/>
        </w:rPr>
        <w:t>Another important consideration to discuss with management and the project team is the internal auditors' roles and responsibilities in attending project team meetings throughout the conversion audit.</w:t>
      </w:r>
    </w:p>
    <w:p w:rsidR="00160775" w:rsidRPr="00B56ED8" w:rsidRDefault="00FD0B06" w:rsidP="00B56ED8">
      <w:pPr>
        <w:pStyle w:val="Heading2"/>
        <w:keepNext w:val="0"/>
        <w:keepLines w:val="0"/>
        <w:suppressAutoHyphens/>
        <w:autoSpaceDN w:val="0"/>
        <w:spacing w:before="240" w:after="240"/>
        <w:ind w:left="284" w:right="0" w:hanging="284"/>
        <w:textAlignment w:val="baseline"/>
        <w:rPr>
          <w:rFonts w:ascii="Arial" w:eastAsia="MS Mincho" w:hAnsi="Arial" w:cs="Arial"/>
          <w:bCs w:val="0"/>
          <w:color w:val="auto"/>
          <w:szCs w:val="24"/>
          <w:lang w:eastAsia="en-ZA"/>
        </w:rPr>
      </w:pPr>
      <w:bookmarkStart w:id="24" w:name="_Toc466031761"/>
      <w:bookmarkStart w:id="25" w:name="_Toc466031902"/>
      <w:bookmarkStart w:id="26" w:name="_Toc466032374"/>
      <w:r w:rsidRPr="00B56ED8">
        <w:rPr>
          <w:rFonts w:ascii="Arial" w:eastAsia="MS Mincho" w:hAnsi="Arial" w:cs="Arial"/>
          <w:bCs w:val="0"/>
          <w:color w:val="auto"/>
          <w:szCs w:val="24"/>
          <w:lang w:eastAsia="en-ZA"/>
        </w:rPr>
        <w:t>AUDIT OBJECTIVES</w:t>
      </w:r>
      <w:r w:rsidR="00843DF9" w:rsidRPr="00B56ED8">
        <w:rPr>
          <w:rFonts w:ascii="Arial" w:eastAsia="MS Mincho" w:hAnsi="Arial" w:cs="Arial"/>
          <w:bCs w:val="0"/>
          <w:color w:val="auto"/>
          <w:szCs w:val="24"/>
          <w:lang w:eastAsia="en-ZA"/>
        </w:rPr>
        <w:t xml:space="preserve"> SPECIFIC TO SYSTEM CONVERSION OR RE-IMPLEMENTATION</w:t>
      </w:r>
      <w:bookmarkEnd w:id="24"/>
      <w:bookmarkEnd w:id="25"/>
      <w:bookmarkEnd w:id="26"/>
    </w:p>
    <w:p w:rsidR="00423173" w:rsidRDefault="00AE6140" w:rsidP="00B13D45">
      <w:pPr>
        <w:jc w:val="both"/>
        <w:rPr>
          <w:lang w:eastAsia="en-ZA"/>
        </w:rPr>
      </w:pPr>
      <w:r w:rsidRPr="00AE6140">
        <w:rPr>
          <w:lang w:eastAsia="en-ZA"/>
        </w:rPr>
        <w:t>Internal auditors’ involvement with a system conversion typically involves reviewing and assessing the overall project plan a</w:t>
      </w:r>
      <w:r w:rsidR="00C50061">
        <w:rPr>
          <w:lang w:eastAsia="en-ZA"/>
        </w:rPr>
        <w:t xml:space="preserve">nd project management. </w:t>
      </w:r>
      <w:r w:rsidR="006F297A">
        <w:rPr>
          <w:lang w:eastAsia="en-ZA"/>
        </w:rPr>
        <w:t xml:space="preserve"> </w:t>
      </w:r>
    </w:p>
    <w:p w:rsidR="00423173" w:rsidRDefault="006F297A" w:rsidP="00B13D45">
      <w:pPr>
        <w:jc w:val="both"/>
        <w:rPr>
          <w:lang w:eastAsia="en-ZA"/>
        </w:rPr>
      </w:pPr>
      <w:r>
        <w:rPr>
          <w:lang w:eastAsia="en-ZA"/>
        </w:rPr>
        <w:t xml:space="preserve">The internal audit function in reviewing the overall project plan should consider whether the budget is adequate or excessive by benchmarking with other similar municipalities.  </w:t>
      </w:r>
      <w:r w:rsidR="009679E7">
        <w:rPr>
          <w:lang w:eastAsia="en-ZA"/>
        </w:rPr>
        <w:t xml:space="preserve"> </w:t>
      </w:r>
    </w:p>
    <w:p w:rsidR="00160775" w:rsidRDefault="005E0011" w:rsidP="00B13D45">
      <w:pPr>
        <w:jc w:val="both"/>
        <w:rPr>
          <w:lang w:eastAsia="en-ZA"/>
        </w:rPr>
      </w:pPr>
      <w:r>
        <w:rPr>
          <w:lang w:eastAsia="en-ZA"/>
        </w:rPr>
        <w:t>Internal a</w:t>
      </w:r>
      <w:r w:rsidR="00C50061">
        <w:rPr>
          <w:lang w:eastAsia="en-ZA"/>
        </w:rPr>
        <w:t xml:space="preserve">uditors </w:t>
      </w:r>
      <w:r w:rsidR="00AE6140" w:rsidRPr="00AE6140">
        <w:rPr>
          <w:lang w:eastAsia="en-ZA"/>
        </w:rPr>
        <w:t xml:space="preserve">should also assess the accuracy and completeness of the systems and data requirements </w:t>
      </w:r>
      <w:r w:rsidR="00C50061">
        <w:rPr>
          <w:lang w:eastAsia="en-ZA"/>
        </w:rPr>
        <w:t>for the IT solution, including:</w:t>
      </w:r>
    </w:p>
    <w:p w:rsidR="00160775" w:rsidRDefault="00AE6140" w:rsidP="00B13D45">
      <w:pPr>
        <w:pStyle w:val="ListParagraph"/>
        <w:jc w:val="both"/>
      </w:pPr>
      <w:r w:rsidRPr="00AE6140">
        <w:t>Evaluating and monitoring management's project plans for the various system changes that are required.</w:t>
      </w:r>
    </w:p>
    <w:p w:rsidR="00423173" w:rsidRDefault="00423173" w:rsidP="00B13D45">
      <w:pPr>
        <w:pStyle w:val="ListParagraph"/>
        <w:jc w:val="both"/>
      </w:pPr>
      <w:r>
        <w:t xml:space="preserve">Data cleaning is one of the most problematic areas and </w:t>
      </w:r>
      <w:r w:rsidR="00285457">
        <w:t xml:space="preserve">it is </w:t>
      </w:r>
      <w:r>
        <w:t xml:space="preserve">critical that clean data gets moved to the “new systems” for mSCOA implementation.  Therefore, </w:t>
      </w:r>
      <w:r w:rsidR="00CD6C7A">
        <w:t xml:space="preserve">it is imperative that </w:t>
      </w:r>
      <w:r>
        <w:t>the data cleaning prior to the “move” should be tested properly.</w:t>
      </w:r>
    </w:p>
    <w:p w:rsidR="00160775" w:rsidRDefault="00AE6140" w:rsidP="00B13D45">
      <w:pPr>
        <w:pStyle w:val="ListParagraph"/>
        <w:jc w:val="both"/>
      </w:pPr>
      <w:r w:rsidRPr="00AE6140">
        <w:t>Assessing the completeness and appropriateness of management's systems and database design, including the security aspects.</w:t>
      </w:r>
    </w:p>
    <w:p w:rsidR="00160775" w:rsidRDefault="00AE6140" w:rsidP="00B13D45">
      <w:pPr>
        <w:pStyle w:val="ListParagraph"/>
        <w:jc w:val="both"/>
      </w:pPr>
      <w:r w:rsidRPr="00AE6140">
        <w:t>Reviewing the user-acceptance and parallel test planning and results to demonstrate successful end-to-end system operations and preparedness for implementation. In a parallel test, the project team simultaneously tests both the old and new systems using the same data and compares their results in a comprehensive manner. </w:t>
      </w:r>
    </w:p>
    <w:p w:rsidR="00160775" w:rsidRDefault="00AE6140" w:rsidP="00B13D45">
      <w:pPr>
        <w:pStyle w:val="ListParagraph"/>
        <w:jc w:val="both"/>
      </w:pPr>
      <w:r w:rsidRPr="00AE6140">
        <w:t xml:space="preserve">Reviewing the </w:t>
      </w:r>
      <w:r w:rsidR="003C0B63" w:rsidRPr="00AE6140">
        <w:t>start-up</w:t>
      </w:r>
      <w:r w:rsidRPr="00AE6140">
        <w:t xml:space="preserve"> of production systems and associated client data to ensure data integrity is maintained and back-out plans in the event of a problem are effective.</w:t>
      </w:r>
    </w:p>
    <w:p w:rsidR="00160775" w:rsidRDefault="009679E7" w:rsidP="00B13D45">
      <w:pPr>
        <w:jc w:val="both"/>
        <w:rPr>
          <w:lang w:eastAsia="en-ZA"/>
        </w:rPr>
      </w:pPr>
      <w:r>
        <w:rPr>
          <w:lang w:eastAsia="en-ZA"/>
        </w:rPr>
        <w:t>In addition,</w:t>
      </w:r>
      <w:r w:rsidR="0056615A">
        <w:rPr>
          <w:lang w:eastAsia="en-ZA"/>
        </w:rPr>
        <w:t xml:space="preserve"> internal</w:t>
      </w:r>
      <w:r>
        <w:rPr>
          <w:lang w:eastAsia="en-ZA"/>
        </w:rPr>
        <w:t xml:space="preserve"> auditors s</w:t>
      </w:r>
      <w:r w:rsidR="00AE6140" w:rsidRPr="00AE6140">
        <w:rPr>
          <w:lang w:eastAsia="en-ZA"/>
        </w:rPr>
        <w:t xml:space="preserve">hould assess the accuracy and completeness of the </w:t>
      </w:r>
      <w:r w:rsidR="003C0B63" w:rsidRPr="00AE6140">
        <w:rPr>
          <w:lang w:eastAsia="en-ZA"/>
        </w:rPr>
        <w:t>start-up</w:t>
      </w:r>
      <w:r w:rsidR="00AE6140" w:rsidRPr="00AE6140">
        <w:rPr>
          <w:lang w:eastAsia="en-ZA"/>
        </w:rPr>
        <w:t xml:space="preserve"> of operational responsibilities within the </w:t>
      </w:r>
      <w:r w:rsidR="003C0B63">
        <w:rPr>
          <w:lang w:eastAsia="en-ZA"/>
        </w:rPr>
        <w:t>municipality</w:t>
      </w:r>
      <w:r w:rsidR="00AE6140" w:rsidRPr="00AE6140">
        <w:rPr>
          <w:lang w:eastAsia="en-ZA"/>
        </w:rPr>
        <w:t xml:space="preserve"> by:</w:t>
      </w:r>
    </w:p>
    <w:p w:rsidR="00160775" w:rsidRDefault="00AE6140" w:rsidP="00B13D45">
      <w:pPr>
        <w:pStyle w:val="ListParagraph"/>
        <w:jc w:val="both"/>
      </w:pPr>
      <w:r w:rsidRPr="00AE6140">
        <w:t>Evaluating and monitoring management’s project plans for the various operational requirements.</w:t>
      </w:r>
    </w:p>
    <w:p w:rsidR="00160775" w:rsidRDefault="00AE6140" w:rsidP="00B13D45">
      <w:pPr>
        <w:pStyle w:val="ListParagraph"/>
        <w:jc w:val="both"/>
      </w:pPr>
      <w:r w:rsidRPr="00AE6140">
        <w:t>Assessing the completeness and appropriateness of the operational policies and procedures that are developed.</w:t>
      </w:r>
    </w:p>
    <w:p w:rsidR="00160775" w:rsidRDefault="00AE6140" w:rsidP="00B13D45">
      <w:pPr>
        <w:jc w:val="both"/>
        <w:rPr>
          <w:lang w:eastAsia="en-ZA"/>
        </w:rPr>
      </w:pPr>
      <w:r w:rsidRPr="00AE6140">
        <w:rPr>
          <w:lang w:eastAsia="en-ZA"/>
        </w:rPr>
        <w:t xml:space="preserve">Finally, </w:t>
      </w:r>
      <w:r w:rsidR="0056615A">
        <w:rPr>
          <w:lang w:eastAsia="en-ZA"/>
        </w:rPr>
        <w:t xml:space="preserve">internal </w:t>
      </w:r>
      <w:r w:rsidRPr="00AE6140">
        <w:rPr>
          <w:lang w:eastAsia="en-ZA"/>
        </w:rPr>
        <w:t xml:space="preserve">auditors should assess the risk-management processes applied by project management to ensure that they are followed throughout the project. </w:t>
      </w:r>
      <w:r w:rsidR="009679E7">
        <w:rPr>
          <w:lang w:eastAsia="en-ZA"/>
        </w:rPr>
        <w:t xml:space="preserve"> </w:t>
      </w:r>
      <w:r w:rsidRPr="00AE6140">
        <w:rPr>
          <w:lang w:eastAsia="en-ZA"/>
        </w:rPr>
        <w:t xml:space="preserve">Identifying and assessing the risk involved during the various stages of the project will reduce the risk to the </w:t>
      </w:r>
      <w:r w:rsidR="009679E7">
        <w:rPr>
          <w:lang w:eastAsia="en-ZA"/>
        </w:rPr>
        <w:t>municipality</w:t>
      </w:r>
      <w:r w:rsidRPr="00AE6140">
        <w:rPr>
          <w:lang w:eastAsia="en-ZA"/>
        </w:rPr>
        <w:t xml:space="preserve"> by ensuring that implementation of the IT solution is controlled and accurate. The audit objectives are finali</w:t>
      </w:r>
      <w:r w:rsidR="009679E7">
        <w:rPr>
          <w:lang w:eastAsia="en-ZA"/>
        </w:rPr>
        <w:t>s</w:t>
      </w:r>
      <w:r w:rsidRPr="00AE6140">
        <w:rPr>
          <w:lang w:eastAsia="en-ZA"/>
        </w:rPr>
        <w:t>ed during detailed audit project planning.</w:t>
      </w:r>
    </w:p>
    <w:p w:rsidR="00160775" w:rsidRPr="00B56ED8" w:rsidRDefault="00FD0B06" w:rsidP="00B56ED8">
      <w:pPr>
        <w:pStyle w:val="Heading2"/>
        <w:keepNext w:val="0"/>
        <w:keepLines w:val="0"/>
        <w:suppressAutoHyphens/>
        <w:autoSpaceDN w:val="0"/>
        <w:spacing w:before="240" w:after="240"/>
        <w:ind w:left="284" w:right="0" w:hanging="284"/>
        <w:textAlignment w:val="baseline"/>
        <w:rPr>
          <w:rFonts w:ascii="Arial" w:eastAsia="MS Mincho" w:hAnsi="Arial" w:cs="Arial"/>
          <w:bCs w:val="0"/>
          <w:color w:val="auto"/>
          <w:szCs w:val="24"/>
          <w:lang w:eastAsia="en-ZA"/>
        </w:rPr>
      </w:pPr>
      <w:bookmarkStart w:id="27" w:name="_Ref456442199"/>
      <w:bookmarkStart w:id="28" w:name="_Toc466031762"/>
      <w:bookmarkStart w:id="29" w:name="_Toc466031903"/>
      <w:bookmarkStart w:id="30" w:name="_Toc466032375"/>
      <w:r w:rsidRPr="00B56ED8">
        <w:rPr>
          <w:rFonts w:ascii="Arial" w:eastAsia="MS Mincho" w:hAnsi="Arial" w:cs="Arial"/>
          <w:bCs w:val="0"/>
          <w:color w:val="auto"/>
          <w:szCs w:val="24"/>
          <w:lang w:eastAsia="en-ZA"/>
        </w:rPr>
        <w:t xml:space="preserve">EIGHT-STEPS TO CONSIDER IN THE </w:t>
      </w:r>
      <w:r w:rsidR="0056615A" w:rsidRPr="00B56ED8">
        <w:rPr>
          <w:rFonts w:ascii="Arial" w:eastAsia="MS Mincho" w:hAnsi="Arial" w:cs="Arial"/>
          <w:bCs w:val="0"/>
          <w:color w:val="auto"/>
          <w:szCs w:val="24"/>
          <w:lang w:eastAsia="en-ZA"/>
        </w:rPr>
        <w:t xml:space="preserve">INTERNAL </w:t>
      </w:r>
      <w:r w:rsidRPr="00B56ED8">
        <w:rPr>
          <w:rFonts w:ascii="Arial" w:eastAsia="MS Mincho" w:hAnsi="Arial" w:cs="Arial"/>
          <w:bCs w:val="0"/>
          <w:color w:val="auto"/>
          <w:szCs w:val="24"/>
          <w:lang w:eastAsia="en-ZA"/>
        </w:rPr>
        <w:t>AUDIT PROCESS</w:t>
      </w:r>
      <w:bookmarkEnd w:id="27"/>
      <w:bookmarkEnd w:id="28"/>
      <w:bookmarkEnd w:id="29"/>
      <w:bookmarkEnd w:id="30"/>
      <w:r w:rsidR="0056615A" w:rsidRPr="00B56ED8">
        <w:rPr>
          <w:rFonts w:ascii="Arial" w:eastAsia="MS Mincho" w:hAnsi="Arial" w:cs="Arial"/>
          <w:bCs w:val="0"/>
          <w:color w:val="auto"/>
          <w:szCs w:val="24"/>
          <w:lang w:eastAsia="en-ZA"/>
        </w:rPr>
        <w:t xml:space="preserve"> </w:t>
      </w:r>
    </w:p>
    <w:p w:rsidR="00B17031" w:rsidRDefault="00AE6140" w:rsidP="00B13D45">
      <w:pPr>
        <w:jc w:val="both"/>
        <w:rPr>
          <w:lang w:eastAsia="en-ZA"/>
        </w:rPr>
      </w:pPr>
      <w:r w:rsidRPr="00C50061">
        <w:rPr>
          <w:lang w:eastAsia="en-ZA"/>
        </w:rPr>
        <w:t>The following process describes the steps to be completed by internal auditors for a typical system conversion</w:t>
      </w:r>
      <w:r w:rsidR="0056615A">
        <w:rPr>
          <w:lang w:eastAsia="en-ZA"/>
        </w:rPr>
        <w:t>/re-implementation</w:t>
      </w:r>
      <w:r w:rsidRPr="00C50061">
        <w:rPr>
          <w:lang w:eastAsia="en-ZA"/>
        </w:rPr>
        <w:t xml:space="preserve">. </w:t>
      </w:r>
      <w:r w:rsidR="00C50061">
        <w:rPr>
          <w:lang w:eastAsia="en-ZA"/>
        </w:rPr>
        <w:t xml:space="preserve"> </w:t>
      </w:r>
      <w:r w:rsidRPr="00C50061">
        <w:rPr>
          <w:lang w:eastAsia="en-ZA"/>
        </w:rPr>
        <w:t>These straightforward and flexible steps include the IT and non-IT aspects of the conversion.</w:t>
      </w:r>
      <w:r w:rsidR="00C50061">
        <w:rPr>
          <w:lang w:eastAsia="en-ZA"/>
        </w:rPr>
        <w:t xml:space="preserve"> </w:t>
      </w:r>
      <w:r w:rsidRPr="00C50061">
        <w:rPr>
          <w:lang w:eastAsia="en-ZA"/>
        </w:rPr>
        <w:t xml:space="preserve"> </w:t>
      </w:r>
    </w:p>
    <w:p w:rsidR="00160775" w:rsidRDefault="00AE6140" w:rsidP="00B13D45">
      <w:pPr>
        <w:jc w:val="both"/>
        <w:rPr>
          <w:lang w:eastAsia="en-ZA"/>
        </w:rPr>
      </w:pPr>
      <w:r w:rsidRPr="00AE6140">
        <w:rPr>
          <w:lang w:eastAsia="en-ZA"/>
        </w:rPr>
        <w:t>Depending on a variety of factors such as the size, complexity, and time frame of the systems project</w:t>
      </w:r>
      <w:r w:rsidR="00A933C8">
        <w:rPr>
          <w:lang w:eastAsia="en-ZA"/>
        </w:rPr>
        <w:t>,</w:t>
      </w:r>
      <w:r w:rsidRPr="00AE6140">
        <w:rPr>
          <w:lang w:eastAsia="en-ZA"/>
        </w:rPr>
        <w:t xml:space="preserve"> this generic </w:t>
      </w:r>
      <w:r w:rsidR="0056615A">
        <w:rPr>
          <w:lang w:eastAsia="en-ZA"/>
        </w:rPr>
        <w:t xml:space="preserve">internal </w:t>
      </w:r>
      <w:r w:rsidRPr="00AE6140">
        <w:rPr>
          <w:lang w:eastAsia="en-ZA"/>
        </w:rPr>
        <w:t>audit process should be refined and finali</w:t>
      </w:r>
      <w:r w:rsidR="00C50061">
        <w:rPr>
          <w:lang w:eastAsia="en-ZA"/>
        </w:rPr>
        <w:t>s</w:t>
      </w:r>
      <w:r w:rsidRPr="00AE6140">
        <w:rPr>
          <w:lang w:eastAsia="en-ZA"/>
        </w:rPr>
        <w:t xml:space="preserve">ed during the detailed audit project planning phase. </w:t>
      </w:r>
      <w:r w:rsidR="00C50061">
        <w:rPr>
          <w:lang w:eastAsia="en-ZA"/>
        </w:rPr>
        <w:t xml:space="preserve"> </w:t>
      </w:r>
    </w:p>
    <w:p w:rsidR="00160775" w:rsidRPr="00B56ED8" w:rsidRDefault="00B17031" w:rsidP="00B13D45">
      <w:pPr>
        <w:pStyle w:val="Heading2"/>
        <w:jc w:val="both"/>
        <w:rPr>
          <w:color w:val="auto"/>
        </w:rPr>
      </w:pPr>
      <w:bookmarkStart w:id="31" w:name="_Toc466031763"/>
      <w:bookmarkStart w:id="32" w:name="_Toc466031904"/>
      <w:bookmarkStart w:id="33" w:name="_Toc466032376"/>
      <w:r w:rsidRPr="00B56ED8">
        <w:rPr>
          <w:color w:val="auto"/>
        </w:rPr>
        <w:t>Step 1</w:t>
      </w:r>
      <w:r w:rsidR="008962E6" w:rsidRPr="00B56ED8">
        <w:rPr>
          <w:color w:val="auto"/>
        </w:rPr>
        <w:t>:  Understand the IT Initiative and Project Plan</w:t>
      </w:r>
      <w:bookmarkEnd w:id="31"/>
      <w:bookmarkEnd w:id="32"/>
      <w:bookmarkEnd w:id="33"/>
    </w:p>
    <w:p w:rsidR="0056615A" w:rsidRDefault="00AE6140" w:rsidP="00B13D45">
      <w:pPr>
        <w:jc w:val="both"/>
        <w:rPr>
          <w:lang w:eastAsia="en-ZA"/>
        </w:rPr>
      </w:pPr>
      <w:r w:rsidRPr="00977E8F">
        <w:rPr>
          <w:lang w:eastAsia="en-ZA"/>
        </w:rPr>
        <w:t>Internal auditors should review with both the project's management team and the business units the scope of the initiative</w:t>
      </w:r>
      <w:r w:rsidR="00F06955">
        <w:rPr>
          <w:lang w:eastAsia="en-ZA"/>
        </w:rPr>
        <w:t>;</w:t>
      </w:r>
      <w:r w:rsidRPr="00977E8F">
        <w:rPr>
          <w:lang w:eastAsia="en-ZA"/>
        </w:rPr>
        <w:t xml:space="preserve"> supporting project plans</w:t>
      </w:r>
      <w:r w:rsidR="00F06955">
        <w:rPr>
          <w:lang w:eastAsia="en-ZA"/>
        </w:rPr>
        <w:t>;</w:t>
      </w:r>
      <w:r w:rsidRPr="00977E8F">
        <w:rPr>
          <w:lang w:eastAsia="en-ZA"/>
        </w:rPr>
        <w:t xml:space="preserve"> high-level implementation plans and schedules</w:t>
      </w:r>
      <w:r w:rsidR="003C4FF6">
        <w:rPr>
          <w:lang w:eastAsia="en-ZA"/>
        </w:rPr>
        <w:t>;</w:t>
      </w:r>
      <w:r w:rsidRPr="00977E8F">
        <w:rPr>
          <w:lang w:eastAsia="en-ZA"/>
        </w:rPr>
        <w:t xml:space="preserve"> proposed implementation programs</w:t>
      </w:r>
      <w:r w:rsidR="00F06955">
        <w:rPr>
          <w:lang w:eastAsia="en-ZA"/>
        </w:rPr>
        <w:t>;</w:t>
      </w:r>
      <w:r w:rsidRPr="00977E8F">
        <w:rPr>
          <w:lang w:eastAsia="en-ZA"/>
        </w:rPr>
        <w:t xml:space="preserve"> and</w:t>
      </w:r>
      <w:r w:rsidR="00F06955">
        <w:rPr>
          <w:lang w:eastAsia="en-ZA"/>
        </w:rPr>
        <w:t>,</w:t>
      </w:r>
      <w:r w:rsidRPr="00977E8F">
        <w:rPr>
          <w:lang w:eastAsia="en-ZA"/>
        </w:rPr>
        <w:t xml:space="preserve"> project controls.</w:t>
      </w:r>
      <w:r w:rsidR="009679E7">
        <w:rPr>
          <w:lang w:eastAsia="en-ZA"/>
        </w:rPr>
        <w:t xml:space="preserve"> </w:t>
      </w:r>
    </w:p>
    <w:p w:rsidR="00160775" w:rsidRDefault="00AE6140" w:rsidP="00B13D45">
      <w:pPr>
        <w:jc w:val="both"/>
        <w:rPr>
          <w:lang w:eastAsia="en-ZA"/>
        </w:rPr>
      </w:pPr>
      <w:r w:rsidRPr="00977E8F">
        <w:rPr>
          <w:lang w:eastAsia="en-ZA"/>
        </w:rPr>
        <w:t>A good understanding of the overall solution is needed to provide the big-picture context in support of the audit risk assessment and detailed audit-planning effort.</w:t>
      </w:r>
      <w:r w:rsidR="009679E7">
        <w:rPr>
          <w:lang w:eastAsia="en-ZA"/>
        </w:rPr>
        <w:t xml:space="preserve"> </w:t>
      </w:r>
      <w:r w:rsidRPr="00977E8F">
        <w:rPr>
          <w:lang w:eastAsia="en-ZA"/>
        </w:rPr>
        <w:t xml:space="preserve"> It is important to understand how the system benefits the </w:t>
      </w:r>
      <w:r w:rsidR="009679E7">
        <w:rPr>
          <w:lang w:eastAsia="en-ZA"/>
        </w:rPr>
        <w:t>municipality</w:t>
      </w:r>
      <w:r w:rsidRPr="00977E8F">
        <w:rPr>
          <w:lang w:eastAsia="en-ZA"/>
        </w:rPr>
        <w:t xml:space="preserve"> and what the system's role will be in delivering business objectives. </w:t>
      </w:r>
      <w:r w:rsidR="009679E7">
        <w:rPr>
          <w:lang w:eastAsia="en-ZA"/>
        </w:rPr>
        <w:t xml:space="preserve"> </w:t>
      </w:r>
      <w:r w:rsidRPr="00977E8F">
        <w:rPr>
          <w:lang w:eastAsia="en-ZA"/>
        </w:rPr>
        <w:t>It is also important that the project team develop well-documented objectives and have them approved by management.</w:t>
      </w:r>
    </w:p>
    <w:p w:rsidR="00B17031" w:rsidRDefault="00AE6140" w:rsidP="00B13D45">
      <w:pPr>
        <w:jc w:val="both"/>
        <w:rPr>
          <w:lang w:eastAsia="en-ZA"/>
        </w:rPr>
      </w:pPr>
      <w:r w:rsidRPr="00AE6140">
        <w:rPr>
          <w:lang w:eastAsia="en-ZA"/>
        </w:rPr>
        <w:t>During this step,</w:t>
      </w:r>
      <w:r w:rsidR="0056615A">
        <w:rPr>
          <w:lang w:eastAsia="en-ZA"/>
        </w:rPr>
        <w:t xml:space="preserve"> internal</w:t>
      </w:r>
      <w:r w:rsidRPr="00AE6140">
        <w:rPr>
          <w:lang w:eastAsia="en-ZA"/>
        </w:rPr>
        <w:t xml:space="preserve"> auditors should also finali</w:t>
      </w:r>
      <w:r w:rsidR="009679E7">
        <w:rPr>
          <w:lang w:eastAsia="en-ZA"/>
        </w:rPr>
        <w:t>s</w:t>
      </w:r>
      <w:r w:rsidRPr="00AE6140">
        <w:rPr>
          <w:lang w:eastAsia="en-ZA"/>
        </w:rPr>
        <w:t xml:space="preserve">e the system conversion audit plan by modifying the generic audit process to reflect the actual IT project's objectives, issues, and assurance needs. </w:t>
      </w:r>
      <w:r w:rsidR="009679E7">
        <w:rPr>
          <w:lang w:eastAsia="en-ZA"/>
        </w:rPr>
        <w:t xml:space="preserve"> </w:t>
      </w:r>
    </w:p>
    <w:p w:rsidR="00B17031" w:rsidRDefault="00AE6140" w:rsidP="00B13D45">
      <w:pPr>
        <w:jc w:val="both"/>
        <w:rPr>
          <w:lang w:eastAsia="en-ZA"/>
        </w:rPr>
      </w:pPr>
      <w:r w:rsidRPr="00AE6140">
        <w:rPr>
          <w:lang w:eastAsia="en-ZA"/>
        </w:rPr>
        <w:t>The high-level risk assessment would further guide the system-conversion audit-planning process.</w:t>
      </w:r>
      <w:r w:rsidR="00B17031" w:rsidRPr="00B17031">
        <w:rPr>
          <w:lang w:eastAsia="en-ZA"/>
        </w:rPr>
        <w:t xml:space="preserve"> </w:t>
      </w:r>
      <w:r w:rsidR="0056615A">
        <w:rPr>
          <w:lang w:eastAsia="en-ZA"/>
        </w:rPr>
        <w:t xml:space="preserve"> </w:t>
      </w:r>
      <w:r w:rsidR="00B17031" w:rsidRPr="00C50061">
        <w:rPr>
          <w:lang w:eastAsia="en-ZA"/>
        </w:rPr>
        <w:t>The actual level of audit involvement and audit approach should be determined by internal auditors dur</w:t>
      </w:r>
      <w:r w:rsidR="00B17031">
        <w:rPr>
          <w:lang w:eastAsia="en-ZA"/>
        </w:rPr>
        <w:t xml:space="preserve">ing </w:t>
      </w:r>
      <w:r w:rsidR="00B17031" w:rsidRPr="00C50061">
        <w:rPr>
          <w:lang w:eastAsia="en-ZA"/>
        </w:rPr>
        <w:t>a detailed audit project planning phase whe</w:t>
      </w:r>
      <w:r w:rsidR="00B17031">
        <w:rPr>
          <w:lang w:eastAsia="en-ZA"/>
        </w:rPr>
        <w:t>n the first step of the process is finalis</w:t>
      </w:r>
      <w:r w:rsidR="00B17031" w:rsidRPr="00C50061">
        <w:rPr>
          <w:lang w:eastAsia="en-ZA"/>
        </w:rPr>
        <w:t xml:space="preserve">ed. </w:t>
      </w:r>
    </w:p>
    <w:p w:rsidR="00B17031" w:rsidRPr="00B56ED8" w:rsidRDefault="00B17031" w:rsidP="00B13D45">
      <w:pPr>
        <w:pStyle w:val="Heading2"/>
        <w:jc w:val="both"/>
        <w:rPr>
          <w:color w:val="auto"/>
          <w:lang w:eastAsia="en-ZA"/>
        </w:rPr>
      </w:pPr>
      <w:bookmarkStart w:id="34" w:name="_Toc466031764"/>
      <w:bookmarkStart w:id="35" w:name="_Toc466031905"/>
      <w:bookmarkStart w:id="36" w:name="_Toc466032377"/>
      <w:r w:rsidRPr="00B56ED8">
        <w:rPr>
          <w:color w:val="auto"/>
          <w:lang w:eastAsia="en-ZA"/>
        </w:rPr>
        <w:t>Step 2:  Complete a Risk Assessment of the Operational Changes Planned relating to the mSCOA System Implementation</w:t>
      </w:r>
      <w:bookmarkEnd w:id="34"/>
      <w:bookmarkEnd w:id="35"/>
      <w:bookmarkEnd w:id="36"/>
    </w:p>
    <w:p w:rsidR="00B17031" w:rsidRDefault="00B17031" w:rsidP="00B13D45">
      <w:pPr>
        <w:jc w:val="both"/>
        <w:rPr>
          <w:lang w:eastAsia="en-ZA"/>
        </w:rPr>
      </w:pPr>
      <w:r w:rsidRPr="00AE6140">
        <w:rPr>
          <w:lang w:eastAsia="en-ZA"/>
        </w:rPr>
        <w:t xml:space="preserve">Internal auditors should develop a detailed understanding of the operational changes </w:t>
      </w:r>
      <w:r>
        <w:rPr>
          <w:lang w:eastAsia="en-ZA"/>
        </w:rPr>
        <w:t xml:space="preserve">driven by the system implementation </w:t>
      </w:r>
      <w:r w:rsidRPr="00AE6140">
        <w:rPr>
          <w:lang w:eastAsia="en-ZA"/>
        </w:rPr>
        <w:t xml:space="preserve">that are being planned and facilitate an </w:t>
      </w:r>
      <w:r>
        <w:rPr>
          <w:lang w:eastAsia="en-ZA"/>
        </w:rPr>
        <w:t>independent risk assessment of t</w:t>
      </w:r>
      <w:r w:rsidRPr="00AE6140">
        <w:rPr>
          <w:lang w:eastAsia="en-ZA"/>
        </w:rPr>
        <w:t>hose changes.</w:t>
      </w:r>
      <w:r>
        <w:rPr>
          <w:lang w:eastAsia="en-ZA"/>
        </w:rPr>
        <w:t xml:space="preserve">  </w:t>
      </w:r>
    </w:p>
    <w:p w:rsidR="00B17031" w:rsidRDefault="00B17031" w:rsidP="00B13D45">
      <w:pPr>
        <w:jc w:val="both"/>
        <w:rPr>
          <w:lang w:eastAsia="en-ZA"/>
        </w:rPr>
      </w:pPr>
      <w:r w:rsidRPr="00AE6140">
        <w:rPr>
          <w:lang w:eastAsia="en-ZA"/>
        </w:rPr>
        <w:t>Without an ongoing risk assessment process, surprises will occur frequently, with negative consequences to</w:t>
      </w:r>
      <w:r w:rsidR="001B3C70">
        <w:rPr>
          <w:lang w:eastAsia="en-ZA"/>
        </w:rPr>
        <w:t xml:space="preserve"> the</w:t>
      </w:r>
      <w:r w:rsidRPr="00AE6140">
        <w:rPr>
          <w:lang w:eastAsia="en-ZA"/>
        </w:rPr>
        <w:t xml:space="preserve"> schedule, cost, and quality. </w:t>
      </w:r>
      <w:r>
        <w:rPr>
          <w:lang w:eastAsia="en-ZA"/>
        </w:rPr>
        <w:t xml:space="preserve"> The adequacy of controls put in place to address the risks identified</w:t>
      </w:r>
      <w:r w:rsidR="00B02459">
        <w:rPr>
          <w:lang w:eastAsia="en-ZA"/>
        </w:rPr>
        <w:t>,</w:t>
      </w:r>
      <w:r>
        <w:rPr>
          <w:lang w:eastAsia="en-ZA"/>
        </w:rPr>
        <w:t xml:space="preserve"> as well as the effectiveness of these controls</w:t>
      </w:r>
      <w:r w:rsidR="00B02459">
        <w:rPr>
          <w:lang w:eastAsia="en-ZA"/>
        </w:rPr>
        <w:t>,</w:t>
      </w:r>
      <w:r>
        <w:rPr>
          <w:lang w:eastAsia="en-ZA"/>
        </w:rPr>
        <w:t xml:space="preserve"> determine the scope of testing to be done by the internal audit activity.  T</w:t>
      </w:r>
      <w:r w:rsidRPr="00AE6140">
        <w:rPr>
          <w:lang w:eastAsia="en-ZA"/>
        </w:rPr>
        <w:t>he results of th</w:t>
      </w:r>
      <w:r>
        <w:rPr>
          <w:lang w:eastAsia="en-ZA"/>
        </w:rPr>
        <w:t xml:space="preserve">is </w:t>
      </w:r>
      <w:r w:rsidRPr="00AE6140">
        <w:rPr>
          <w:lang w:eastAsia="en-ZA"/>
        </w:rPr>
        <w:t xml:space="preserve">analysis should be factored into the project team's plans and focus. </w:t>
      </w:r>
    </w:p>
    <w:p w:rsidR="00B17031" w:rsidRDefault="00B17031" w:rsidP="00B13D45">
      <w:pPr>
        <w:jc w:val="both"/>
        <w:rPr>
          <w:lang w:eastAsia="en-ZA"/>
        </w:rPr>
      </w:pPr>
      <w:r w:rsidRPr="00AE6140">
        <w:rPr>
          <w:lang w:eastAsia="en-ZA"/>
        </w:rPr>
        <w:t xml:space="preserve">The audit risk assessment should be documented in </w:t>
      </w:r>
      <w:r>
        <w:rPr>
          <w:lang w:eastAsia="en-ZA"/>
        </w:rPr>
        <w:t xml:space="preserve">the </w:t>
      </w:r>
      <w:r w:rsidRPr="00AE6140">
        <w:rPr>
          <w:lang w:eastAsia="en-ZA"/>
        </w:rPr>
        <w:t>internal audit readiness analysis.</w:t>
      </w:r>
    </w:p>
    <w:p w:rsidR="00160775" w:rsidRPr="00B56ED8" w:rsidRDefault="008962E6" w:rsidP="00B13D45">
      <w:pPr>
        <w:pStyle w:val="Heading2"/>
        <w:jc w:val="both"/>
        <w:rPr>
          <w:color w:val="auto"/>
        </w:rPr>
      </w:pPr>
      <w:bookmarkStart w:id="37" w:name="_Toc466031765"/>
      <w:bookmarkStart w:id="38" w:name="_Toc466031906"/>
      <w:bookmarkStart w:id="39" w:name="_Toc466032378"/>
      <w:r w:rsidRPr="00B56ED8">
        <w:rPr>
          <w:color w:val="auto"/>
        </w:rPr>
        <w:t xml:space="preserve">Step </w:t>
      </w:r>
      <w:r w:rsidR="00B17031" w:rsidRPr="00B56ED8">
        <w:rPr>
          <w:color w:val="auto"/>
        </w:rPr>
        <w:t>3</w:t>
      </w:r>
      <w:r w:rsidRPr="00B56ED8">
        <w:rPr>
          <w:color w:val="auto"/>
        </w:rPr>
        <w:t>:  Assess the Project and Implementation Plans</w:t>
      </w:r>
      <w:bookmarkEnd w:id="37"/>
      <w:bookmarkEnd w:id="38"/>
      <w:bookmarkEnd w:id="39"/>
    </w:p>
    <w:p w:rsidR="00160775" w:rsidRDefault="00AE6140" w:rsidP="00B13D45">
      <w:pPr>
        <w:jc w:val="both"/>
        <w:rPr>
          <w:lang w:eastAsia="en-ZA"/>
        </w:rPr>
      </w:pPr>
      <w:r w:rsidRPr="00AE6140">
        <w:rPr>
          <w:lang w:eastAsia="en-ZA"/>
        </w:rPr>
        <w:t xml:space="preserve">Internal auditors should complete an assessment of the appropriateness of the project plans, implementation and testing plans, and data-conversion program specifications that are being developed. </w:t>
      </w:r>
      <w:r w:rsidR="00D11CDE">
        <w:rPr>
          <w:lang w:eastAsia="en-ZA"/>
        </w:rPr>
        <w:t xml:space="preserve"> </w:t>
      </w:r>
      <w:r w:rsidRPr="00AE6140">
        <w:rPr>
          <w:lang w:eastAsia="en-ZA"/>
        </w:rPr>
        <w:t xml:space="preserve">Auditors should provide feedback about their assessment of the implementation approach to the project's management team. </w:t>
      </w:r>
    </w:p>
    <w:p w:rsidR="00160775" w:rsidRDefault="00AE6140" w:rsidP="00B13D45">
      <w:pPr>
        <w:jc w:val="both"/>
        <w:rPr>
          <w:lang w:eastAsia="en-ZA"/>
        </w:rPr>
      </w:pPr>
      <w:r w:rsidRPr="00AE6140">
        <w:rPr>
          <w:lang w:eastAsia="en-ZA"/>
        </w:rPr>
        <w:t xml:space="preserve">The project team and management benefit from receiving an independent assessment of the project efforts and plans, because the intense pressure to show early progress often causes some important aspects of planning to be overlooked. </w:t>
      </w:r>
      <w:r w:rsidR="00D11CDE">
        <w:rPr>
          <w:lang w:eastAsia="en-ZA"/>
        </w:rPr>
        <w:t xml:space="preserve"> </w:t>
      </w:r>
      <w:r w:rsidRPr="00AE6140">
        <w:rPr>
          <w:lang w:eastAsia="en-ZA"/>
        </w:rPr>
        <w:t xml:space="preserve">Having internal auditors review the early project efforts further assures stakeholders that all important aspects of the project have been considered in planning. </w:t>
      </w:r>
      <w:r w:rsidR="00D11CDE">
        <w:rPr>
          <w:lang w:eastAsia="en-ZA"/>
        </w:rPr>
        <w:t xml:space="preserve"> </w:t>
      </w:r>
    </w:p>
    <w:p w:rsidR="00160775" w:rsidRDefault="00DA2B71" w:rsidP="00B13D45">
      <w:pPr>
        <w:jc w:val="both"/>
        <w:rPr>
          <w:lang w:eastAsia="en-ZA"/>
        </w:rPr>
      </w:pPr>
      <w:r>
        <w:rPr>
          <w:lang w:eastAsia="en-ZA"/>
        </w:rPr>
        <w:t>The internal a</w:t>
      </w:r>
      <w:r w:rsidR="00AE6140" w:rsidRPr="00D11CDE">
        <w:rPr>
          <w:lang w:eastAsia="en-ZA"/>
        </w:rPr>
        <w:t xml:space="preserve">uditors' views on the new system's internal controls can benefit the implementation of the overall solution, which </w:t>
      </w:r>
      <w:r w:rsidR="00FD475F">
        <w:rPr>
          <w:lang w:eastAsia="en-ZA"/>
        </w:rPr>
        <w:t xml:space="preserve">system </w:t>
      </w:r>
      <w:r w:rsidR="00AE6140" w:rsidRPr="00D11CDE">
        <w:rPr>
          <w:lang w:eastAsia="en-ZA"/>
        </w:rPr>
        <w:t xml:space="preserve">may not be as robust as mature legacy systems that have had years of controls hardening. </w:t>
      </w:r>
    </w:p>
    <w:p w:rsidR="00160775" w:rsidRPr="00B56ED8" w:rsidRDefault="00D11CDE" w:rsidP="00B13D45">
      <w:pPr>
        <w:pStyle w:val="Heading2"/>
        <w:jc w:val="both"/>
        <w:rPr>
          <w:color w:val="auto"/>
          <w:lang w:eastAsia="en-ZA"/>
        </w:rPr>
      </w:pPr>
      <w:bookmarkStart w:id="40" w:name="_Toc466031766"/>
      <w:bookmarkStart w:id="41" w:name="_Toc466031907"/>
      <w:bookmarkStart w:id="42" w:name="_Toc466032379"/>
      <w:r w:rsidRPr="00B56ED8">
        <w:rPr>
          <w:color w:val="auto"/>
          <w:lang w:eastAsia="en-ZA"/>
        </w:rPr>
        <w:t xml:space="preserve">Step </w:t>
      </w:r>
      <w:r w:rsidR="00B17031" w:rsidRPr="00B56ED8">
        <w:rPr>
          <w:color w:val="auto"/>
          <w:lang w:eastAsia="en-ZA"/>
        </w:rPr>
        <w:t>4</w:t>
      </w:r>
      <w:r w:rsidRPr="00B56ED8">
        <w:rPr>
          <w:color w:val="auto"/>
          <w:lang w:eastAsia="en-ZA"/>
        </w:rPr>
        <w:t xml:space="preserve">:  </w:t>
      </w:r>
      <w:r w:rsidR="00AE6140" w:rsidRPr="00B56ED8">
        <w:rPr>
          <w:color w:val="auto"/>
          <w:lang w:eastAsia="en-ZA"/>
        </w:rPr>
        <w:t xml:space="preserve">Assess the </w:t>
      </w:r>
      <w:r w:rsidR="009679E7" w:rsidRPr="00B56ED8">
        <w:rPr>
          <w:color w:val="auto"/>
          <w:lang w:eastAsia="en-ZA"/>
        </w:rPr>
        <w:t>D</w:t>
      </w:r>
      <w:r w:rsidR="00AE6140" w:rsidRPr="00B56ED8">
        <w:rPr>
          <w:color w:val="auto"/>
          <w:lang w:eastAsia="en-ZA"/>
        </w:rPr>
        <w:t xml:space="preserve">ata </w:t>
      </w:r>
      <w:r w:rsidR="009679E7" w:rsidRPr="00B56ED8">
        <w:rPr>
          <w:color w:val="auto"/>
          <w:lang w:eastAsia="en-ZA"/>
        </w:rPr>
        <w:t>M</w:t>
      </w:r>
      <w:r w:rsidR="00AE6140" w:rsidRPr="00B56ED8">
        <w:rPr>
          <w:color w:val="auto"/>
          <w:lang w:eastAsia="en-ZA"/>
        </w:rPr>
        <w:t xml:space="preserve">apping efforts and the </w:t>
      </w:r>
      <w:r w:rsidR="009679E7" w:rsidRPr="00B56ED8">
        <w:rPr>
          <w:color w:val="auto"/>
          <w:lang w:eastAsia="en-ZA"/>
        </w:rPr>
        <w:t>O</w:t>
      </w:r>
      <w:r w:rsidR="00AE6140" w:rsidRPr="00B56ED8">
        <w:rPr>
          <w:color w:val="auto"/>
          <w:lang w:eastAsia="en-ZA"/>
        </w:rPr>
        <w:t xml:space="preserve">perational </w:t>
      </w:r>
      <w:r w:rsidR="00423173" w:rsidRPr="00B56ED8">
        <w:rPr>
          <w:color w:val="auto"/>
          <w:lang w:eastAsia="en-ZA"/>
        </w:rPr>
        <w:t>Changes</w:t>
      </w:r>
      <w:r w:rsidR="00AE6140" w:rsidRPr="00B56ED8">
        <w:rPr>
          <w:color w:val="auto"/>
          <w:lang w:eastAsia="en-ZA"/>
        </w:rPr>
        <w:t xml:space="preserve"> </w:t>
      </w:r>
      <w:r w:rsidR="009679E7" w:rsidRPr="00B56ED8">
        <w:rPr>
          <w:color w:val="auto"/>
          <w:lang w:eastAsia="en-ZA"/>
        </w:rPr>
        <w:t>P</w:t>
      </w:r>
      <w:r w:rsidR="00AE6140" w:rsidRPr="00B56ED8">
        <w:rPr>
          <w:color w:val="auto"/>
          <w:lang w:eastAsia="en-ZA"/>
        </w:rPr>
        <w:t>lanned</w:t>
      </w:r>
      <w:bookmarkEnd w:id="40"/>
      <w:bookmarkEnd w:id="41"/>
      <w:bookmarkEnd w:id="42"/>
    </w:p>
    <w:p w:rsidR="00160775" w:rsidRDefault="00AE6140" w:rsidP="00B13D45">
      <w:pPr>
        <w:jc w:val="both"/>
        <w:rPr>
          <w:lang w:eastAsia="en-ZA"/>
        </w:rPr>
      </w:pPr>
      <w:r w:rsidRPr="00AE6140">
        <w:rPr>
          <w:lang w:eastAsia="en-ZA"/>
        </w:rPr>
        <w:t xml:space="preserve">Internal </w:t>
      </w:r>
      <w:r w:rsidR="00DA2B71">
        <w:rPr>
          <w:lang w:eastAsia="en-ZA"/>
        </w:rPr>
        <w:t>aud</w:t>
      </w:r>
      <w:r w:rsidRPr="00AE6140">
        <w:rPr>
          <w:lang w:eastAsia="en-ZA"/>
        </w:rPr>
        <w:t xml:space="preserve">itors should assess the adequacy and completeness of the planned data conversion control reporting, including a review of the system data mapping for the implementation of changes to production data, if any. </w:t>
      </w:r>
      <w:r w:rsidR="009679E7">
        <w:rPr>
          <w:lang w:eastAsia="en-ZA"/>
        </w:rPr>
        <w:t xml:space="preserve"> </w:t>
      </w:r>
      <w:r w:rsidRPr="00AE6140">
        <w:rPr>
          <w:lang w:eastAsia="en-ZA"/>
        </w:rPr>
        <w:t xml:space="preserve">Data mapping sets the necessary foundation for </w:t>
      </w:r>
      <w:r w:rsidRPr="00AD1946">
        <w:rPr>
          <w:lang w:eastAsia="en-ZA"/>
        </w:rPr>
        <w:t>maintaining the integrity of the production data during implementation</w:t>
      </w:r>
      <w:r w:rsidRPr="00AE6140">
        <w:rPr>
          <w:lang w:eastAsia="en-ZA"/>
        </w:rPr>
        <w:t>.</w:t>
      </w:r>
      <w:r w:rsidR="00D11CDE">
        <w:rPr>
          <w:lang w:eastAsia="en-ZA"/>
        </w:rPr>
        <w:t xml:space="preserve"> </w:t>
      </w:r>
      <w:r w:rsidRPr="00AE6140">
        <w:rPr>
          <w:lang w:eastAsia="en-ZA"/>
        </w:rPr>
        <w:t xml:space="preserve"> </w:t>
      </w:r>
      <w:r w:rsidR="00D11CDE">
        <w:rPr>
          <w:rStyle w:val="FootnoteReference"/>
          <w:lang w:eastAsia="en-ZA"/>
        </w:rPr>
        <w:footnoteReference w:id="2"/>
      </w:r>
      <w:r w:rsidRPr="00AE6140">
        <w:rPr>
          <w:lang w:eastAsia="en-ZA"/>
        </w:rPr>
        <w:t>In addition, the historical requirements for data can be extensive</w:t>
      </w:r>
      <w:r w:rsidR="00D11CDE">
        <w:rPr>
          <w:lang w:eastAsia="en-ZA"/>
        </w:rPr>
        <w:t>.</w:t>
      </w:r>
    </w:p>
    <w:p w:rsidR="00160775" w:rsidRDefault="00AE6140" w:rsidP="00B13D45">
      <w:pPr>
        <w:jc w:val="both"/>
        <w:rPr>
          <w:lang w:eastAsia="en-ZA"/>
        </w:rPr>
      </w:pPr>
      <w:r w:rsidRPr="00AE6140">
        <w:rPr>
          <w:lang w:eastAsia="en-ZA"/>
        </w:rPr>
        <w:t>During this step, internal auditors need to assess the adequacy and completeness of data mapping for implementing production data by reviewing the systems data</w:t>
      </w:r>
      <w:r w:rsidR="00DE4936">
        <w:rPr>
          <w:lang w:eastAsia="en-ZA"/>
        </w:rPr>
        <w:t xml:space="preserve">, </w:t>
      </w:r>
      <w:r w:rsidRPr="00AE6140">
        <w:rPr>
          <w:lang w:eastAsia="en-ZA"/>
        </w:rPr>
        <w:t>mapping itself</w:t>
      </w:r>
      <w:r w:rsidR="00C01F9E">
        <w:rPr>
          <w:lang w:eastAsia="en-ZA"/>
        </w:rPr>
        <w:t>,</w:t>
      </w:r>
      <w:r w:rsidRPr="00AE6140">
        <w:rPr>
          <w:lang w:eastAsia="en-ZA"/>
        </w:rPr>
        <w:t xml:space="preserve"> and the controls and reporting with regard to this activity. </w:t>
      </w:r>
      <w:r w:rsidR="009679E7">
        <w:rPr>
          <w:lang w:eastAsia="en-ZA"/>
        </w:rPr>
        <w:t xml:space="preserve"> </w:t>
      </w:r>
      <w:r w:rsidRPr="00AE6140">
        <w:rPr>
          <w:lang w:eastAsia="en-ZA"/>
        </w:rPr>
        <w:t xml:space="preserve">Special attention should be given to the impact the data conversion has on other systems that are not involved in the conversion. </w:t>
      </w:r>
      <w:r w:rsidR="009679E7">
        <w:rPr>
          <w:lang w:eastAsia="en-ZA"/>
        </w:rPr>
        <w:t xml:space="preserve"> </w:t>
      </w:r>
      <w:r w:rsidRPr="00AE6140">
        <w:rPr>
          <w:lang w:eastAsia="en-ZA"/>
        </w:rPr>
        <w:t>This is a high-risk area in all conversions, because downstream systems may be affected in unexpected ways.</w:t>
      </w:r>
    </w:p>
    <w:p w:rsidR="00160775" w:rsidRPr="00B56ED8" w:rsidRDefault="00D11CDE" w:rsidP="00B13D45">
      <w:pPr>
        <w:pStyle w:val="Heading2"/>
        <w:jc w:val="both"/>
        <w:rPr>
          <w:color w:val="auto"/>
        </w:rPr>
      </w:pPr>
      <w:bookmarkStart w:id="43" w:name="_Toc466031767"/>
      <w:bookmarkStart w:id="44" w:name="_Toc466031908"/>
      <w:bookmarkStart w:id="45" w:name="_Toc466032380"/>
      <w:r w:rsidRPr="00B56ED8">
        <w:rPr>
          <w:color w:val="auto"/>
        </w:rPr>
        <w:t xml:space="preserve">Step </w:t>
      </w:r>
      <w:r w:rsidR="00DA2B71" w:rsidRPr="00B56ED8">
        <w:rPr>
          <w:color w:val="auto"/>
        </w:rPr>
        <w:t>5</w:t>
      </w:r>
      <w:r w:rsidRPr="00B56ED8">
        <w:rPr>
          <w:color w:val="auto"/>
        </w:rPr>
        <w:t xml:space="preserve">:  </w:t>
      </w:r>
      <w:r w:rsidR="00AE6140" w:rsidRPr="00B56ED8">
        <w:rPr>
          <w:color w:val="auto"/>
        </w:rPr>
        <w:t xml:space="preserve">Assess the </w:t>
      </w:r>
      <w:r w:rsidRPr="00B56ED8">
        <w:rPr>
          <w:color w:val="auto"/>
        </w:rPr>
        <w:t>A</w:t>
      </w:r>
      <w:r w:rsidR="00AE6140" w:rsidRPr="00B56ED8">
        <w:rPr>
          <w:color w:val="auto"/>
        </w:rPr>
        <w:t xml:space="preserve">dequacy of </w:t>
      </w:r>
      <w:r w:rsidRPr="00B56ED8">
        <w:rPr>
          <w:color w:val="auto"/>
        </w:rPr>
        <w:t>T</w:t>
      </w:r>
      <w:r w:rsidR="00AE6140" w:rsidRPr="00B56ED8">
        <w:rPr>
          <w:color w:val="auto"/>
        </w:rPr>
        <w:t xml:space="preserve">esting </w:t>
      </w:r>
      <w:r w:rsidRPr="00B56ED8">
        <w:rPr>
          <w:color w:val="auto"/>
        </w:rPr>
        <w:t>Plans</w:t>
      </w:r>
      <w:bookmarkEnd w:id="43"/>
      <w:bookmarkEnd w:id="44"/>
      <w:bookmarkEnd w:id="45"/>
    </w:p>
    <w:p w:rsidR="00160775" w:rsidRDefault="00AE6140" w:rsidP="00B13D45">
      <w:pPr>
        <w:jc w:val="both"/>
        <w:rPr>
          <w:lang w:eastAsia="en-ZA"/>
        </w:rPr>
      </w:pPr>
      <w:r w:rsidRPr="00AE6140">
        <w:rPr>
          <w:lang w:eastAsia="en-ZA"/>
        </w:rPr>
        <w:t xml:space="preserve">At this stage, internal auditors should assess the adequacy of the testing plans, the data-conversion control reports to be used, and test scripts involved with the implementation. </w:t>
      </w:r>
      <w:r w:rsidR="00D11CDE">
        <w:rPr>
          <w:lang w:eastAsia="en-ZA"/>
        </w:rPr>
        <w:t xml:space="preserve"> </w:t>
      </w:r>
    </w:p>
    <w:p w:rsidR="00160775" w:rsidRDefault="00DA2B71" w:rsidP="00B13D45">
      <w:pPr>
        <w:jc w:val="both"/>
        <w:rPr>
          <w:lang w:eastAsia="en-ZA"/>
        </w:rPr>
      </w:pPr>
      <w:r>
        <w:rPr>
          <w:lang w:eastAsia="en-ZA"/>
        </w:rPr>
        <w:t xml:space="preserve">Internal audit </w:t>
      </w:r>
      <w:r w:rsidR="00D11CDE">
        <w:rPr>
          <w:lang w:eastAsia="en-ZA"/>
        </w:rPr>
        <w:t>s</w:t>
      </w:r>
      <w:r w:rsidR="00AE6140" w:rsidRPr="00AE6140">
        <w:rPr>
          <w:lang w:eastAsia="en-ZA"/>
        </w:rPr>
        <w:t xml:space="preserve">hould ensure </w:t>
      </w:r>
      <w:r w:rsidR="0093040A">
        <w:rPr>
          <w:lang w:eastAsia="en-ZA"/>
        </w:rPr>
        <w:t xml:space="preserve">that </w:t>
      </w:r>
      <w:r w:rsidR="00AE6140" w:rsidRPr="00AE6140">
        <w:rPr>
          <w:lang w:eastAsia="en-ZA"/>
        </w:rPr>
        <w:t xml:space="preserve">appropriate project resources have been assigned to this activity, so that the level of testing efforts reflects the risks involved. </w:t>
      </w:r>
      <w:r w:rsidR="009679E7">
        <w:rPr>
          <w:lang w:eastAsia="en-ZA"/>
        </w:rPr>
        <w:t xml:space="preserve"> </w:t>
      </w:r>
    </w:p>
    <w:p w:rsidR="00160775" w:rsidRDefault="00DA2B71" w:rsidP="00B13D45">
      <w:pPr>
        <w:jc w:val="both"/>
        <w:rPr>
          <w:lang w:eastAsia="en-ZA"/>
        </w:rPr>
      </w:pPr>
      <w:r>
        <w:rPr>
          <w:lang w:eastAsia="en-ZA"/>
        </w:rPr>
        <w:t xml:space="preserve">Internal audit </w:t>
      </w:r>
      <w:r w:rsidR="00AE6140" w:rsidRPr="00AE6140">
        <w:rPr>
          <w:lang w:eastAsia="en-ZA"/>
        </w:rPr>
        <w:t xml:space="preserve">should review the assignment of responsibilities (i.e., </w:t>
      </w:r>
      <w:proofErr w:type="gramStart"/>
      <w:r w:rsidR="00AE6140" w:rsidRPr="00AE6140">
        <w:rPr>
          <w:lang w:eastAsia="en-ZA"/>
        </w:rPr>
        <w:t>Who</w:t>
      </w:r>
      <w:proofErr w:type="gramEnd"/>
      <w:r w:rsidR="00AE6140" w:rsidRPr="00AE6140">
        <w:rPr>
          <w:lang w:eastAsia="en-ZA"/>
        </w:rPr>
        <w:t xml:space="preserve"> does what?) and related service level agreements for completeness and appropriateness. </w:t>
      </w:r>
      <w:r w:rsidR="00D11CDE">
        <w:rPr>
          <w:lang w:eastAsia="en-ZA"/>
        </w:rPr>
        <w:t xml:space="preserve"> </w:t>
      </w:r>
      <w:r>
        <w:rPr>
          <w:lang w:eastAsia="en-ZA"/>
        </w:rPr>
        <w:t xml:space="preserve"> Further to this </w:t>
      </w:r>
      <w:r w:rsidR="00AE6140" w:rsidRPr="00AE6140">
        <w:rPr>
          <w:lang w:eastAsia="en-ZA"/>
        </w:rPr>
        <w:t xml:space="preserve">review the project's outputs regarding business and IT processes envisioned for implementation. </w:t>
      </w:r>
      <w:r w:rsidR="00D11CDE">
        <w:rPr>
          <w:lang w:eastAsia="en-ZA"/>
        </w:rPr>
        <w:t xml:space="preserve"> </w:t>
      </w:r>
    </w:p>
    <w:p w:rsidR="00160775" w:rsidRDefault="00AE6140" w:rsidP="00B13D45">
      <w:pPr>
        <w:jc w:val="both"/>
        <w:rPr>
          <w:lang w:eastAsia="en-ZA"/>
        </w:rPr>
      </w:pPr>
      <w:r w:rsidRPr="00AE6140">
        <w:rPr>
          <w:lang w:eastAsia="en-ZA"/>
        </w:rPr>
        <w:t>Finally, review and feedback on the implementation plans should be provided to the project management team, where appropriate.</w:t>
      </w:r>
    </w:p>
    <w:p w:rsidR="00160775" w:rsidRPr="00B56ED8" w:rsidRDefault="00641CB1" w:rsidP="00B13D45">
      <w:pPr>
        <w:pStyle w:val="Heading2"/>
        <w:jc w:val="both"/>
        <w:rPr>
          <w:color w:val="auto"/>
          <w:lang w:eastAsia="en-ZA"/>
        </w:rPr>
      </w:pPr>
      <w:bookmarkStart w:id="46" w:name="_Toc466031768"/>
      <w:bookmarkStart w:id="47" w:name="_Toc466031909"/>
      <w:bookmarkStart w:id="48" w:name="_Toc466032381"/>
      <w:r w:rsidRPr="00B56ED8">
        <w:rPr>
          <w:color w:val="auto"/>
          <w:lang w:eastAsia="en-ZA"/>
        </w:rPr>
        <w:t xml:space="preserve">Step </w:t>
      </w:r>
      <w:r w:rsidR="00DA2B71" w:rsidRPr="00B56ED8">
        <w:rPr>
          <w:color w:val="auto"/>
          <w:lang w:eastAsia="en-ZA"/>
        </w:rPr>
        <w:t>6</w:t>
      </w:r>
      <w:r w:rsidRPr="00B56ED8">
        <w:rPr>
          <w:color w:val="auto"/>
          <w:lang w:eastAsia="en-ZA"/>
        </w:rPr>
        <w:t xml:space="preserve">:  </w:t>
      </w:r>
      <w:r w:rsidR="00AE6140" w:rsidRPr="00B56ED8">
        <w:rPr>
          <w:color w:val="auto"/>
          <w:lang w:eastAsia="en-ZA"/>
        </w:rPr>
        <w:t xml:space="preserve">Complete an </w:t>
      </w:r>
      <w:r w:rsidRPr="00B56ED8">
        <w:rPr>
          <w:color w:val="auto"/>
          <w:lang w:eastAsia="en-ZA"/>
        </w:rPr>
        <w:t>I</w:t>
      </w:r>
      <w:r w:rsidR="00AE6140" w:rsidRPr="00B56ED8">
        <w:rPr>
          <w:color w:val="auto"/>
          <w:lang w:eastAsia="en-ZA"/>
        </w:rPr>
        <w:t xml:space="preserve">mplementation </w:t>
      </w:r>
      <w:r w:rsidRPr="00B56ED8">
        <w:rPr>
          <w:color w:val="auto"/>
          <w:lang w:eastAsia="en-ZA"/>
        </w:rPr>
        <w:t>R</w:t>
      </w:r>
      <w:r w:rsidR="00AE6140" w:rsidRPr="00B56ED8">
        <w:rPr>
          <w:color w:val="auto"/>
          <w:lang w:eastAsia="en-ZA"/>
        </w:rPr>
        <w:t xml:space="preserve">eadiness </w:t>
      </w:r>
      <w:r w:rsidRPr="00B56ED8">
        <w:rPr>
          <w:color w:val="auto"/>
          <w:lang w:eastAsia="en-ZA"/>
        </w:rPr>
        <w:t>A</w:t>
      </w:r>
      <w:r w:rsidR="00AE6140" w:rsidRPr="00B56ED8">
        <w:rPr>
          <w:color w:val="auto"/>
          <w:lang w:eastAsia="en-ZA"/>
        </w:rPr>
        <w:t>ssessment</w:t>
      </w:r>
      <w:bookmarkEnd w:id="46"/>
      <w:bookmarkEnd w:id="47"/>
      <w:bookmarkEnd w:id="48"/>
    </w:p>
    <w:p w:rsidR="00160775" w:rsidRDefault="00AE6140" w:rsidP="00B13D45">
      <w:pPr>
        <w:jc w:val="both"/>
        <w:rPr>
          <w:lang w:eastAsia="en-ZA"/>
        </w:rPr>
      </w:pPr>
      <w:r w:rsidRPr="00AE6140">
        <w:rPr>
          <w:lang w:eastAsia="en-ZA"/>
        </w:rPr>
        <w:t xml:space="preserve">Internal auditors should complete a high-level readiness assessment of the </w:t>
      </w:r>
      <w:r w:rsidR="009679E7">
        <w:rPr>
          <w:lang w:eastAsia="en-ZA"/>
        </w:rPr>
        <w:t>municipality</w:t>
      </w:r>
      <w:r w:rsidRPr="00AE6140">
        <w:rPr>
          <w:lang w:eastAsia="en-ZA"/>
        </w:rPr>
        <w:t xml:space="preserve">'s ability to implement the required operational and system changes. </w:t>
      </w:r>
      <w:r w:rsidR="00641CB1">
        <w:rPr>
          <w:lang w:eastAsia="en-ZA"/>
        </w:rPr>
        <w:t xml:space="preserve"> </w:t>
      </w:r>
    </w:p>
    <w:p w:rsidR="00160775" w:rsidRDefault="00AE6140" w:rsidP="00B13D45">
      <w:pPr>
        <w:jc w:val="both"/>
        <w:rPr>
          <w:lang w:eastAsia="en-ZA"/>
        </w:rPr>
      </w:pPr>
      <w:r w:rsidRPr="00AE6140">
        <w:rPr>
          <w:lang w:eastAsia="en-ZA"/>
        </w:rPr>
        <w:t xml:space="preserve">This analysis will identify whether or not additional management efforts are required to complete the preparation for the actual conversion. </w:t>
      </w:r>
      <w:r w:rsidR="00641CB1">
        <w:rPr>
          <w:lang w:eastAsia="en-ZA"/>
        </w:rPr>
        <w:t xml:space="preserve"> </w:t>
      </w:r>
    </w:p>
    <w:p w:rsidR="00160775" w:rsidRDefault="00DA2B71" w:rsidP="00B13D45">
      <w:pPr>
        <w:jc w:val="both"/>
        <w:rPr>
          <w:lang w:eastAsia="en-ZA"/>
        </w:rPr>
      </w:pPr>
      <w:r>
        <w:rPr>
          <w:lang w:eastAsia="en-ZA"/>
        </w:rPr>
        <w:t>Internal audit s</w:t>
      </w:r>
      <w:r w:rsidR="00AE6140" w:rsidRPr="00AE6140">
        <w:rPr>
          <w:lang w:eastAsia="en-ZA"/>
        </w:rPr>
        <w:t>hould review the documentation being developed to support the solution's</w:t>
      </w:r>
      <w:r w:rsidR="00641CB1">
        <w:rPr>
          <w:lang w:eastAsia="en-ZA"/>
        </w:rPr>
        <w:t xml:space="preserve"> implementation and operation </w:t>
      </w:r>
      <w:r w:rsidR="00AE6140" w:rsidRPr="00AE6140">
        <w:rPr>
          <w:lang w:eastAsia="en-ZA"/>
        </w:rPr>
        <w:t>user training materials</w:t>
      </w:r>
      <w:r w:rsidR="001D6EAB">
        <w:rPr>
          <w:lang w:eastAsia="en-ZA"/>
        </w:rPr>
        <w:t>;</w:t>
      </w:r>
      <w:r w:rsidR="00AE6140" w:rsidRPr="00AE6140">
        <w:rPr>
          <w:lang w:eastAsia="en-ZA"/>
        </w:rPr>
        <w:t xml:space="preserve"> new and refined policies and procedures</w:t>
      </w:r>
      <w:r w:rsidR="001D6EAB">
        <w:rPr>
          <w:lang w:eastAsia="en-ZA"/>
        </w:rPr>
        <w:t>;</w:t>
      </w:r>
      <w:r w:rsidR="00AE6140" w:rsidRPr="00AE6140">
        <w:rPr>
          <w:lang w:eastAsia="en-ZA"/>
        </w:rPr>
        <w:t xml:space="preserve"> internal and external communication</w:t>
      </w:r>
      <w:r w:rsidR="001D6EAB">
        <w:rPr>
          <w:lang w:eastAsia="en-ZA"/>
        </w:rPr>
        <w:t>;</w:t>
      </w:r>
      <w:r w:rsidR="00AE6140" w:rsidRPr="00AE6140">
        <w:rPr>
          <w:lang w:eastAsia="en-ZA"/>
        </w:rPr>
        <w:t xml:space="preserve"> </w:t>
      </w:r>
      <w:r w:rsidR="00641CB1">
        <w:rPr>
          <w:lang w:eastAsia="en-ZA"/>
        </w:rPr>
        <w:t>and</w:t>
      </w:r>
      <w:r w:rsidR="001D6EAB">
        <w:rPr>
          <w:lang w:eastAsia="en-ZA"/>
        </w:rPr>
        <w:t>,</w:t>
      </w:r>
      <w:r w:rsidR="00641CB1">
        <w:rPr>
          <w:lang w:eastAsia="en-ZA"/>
        </w:rPr>
        <w:t xml:space="preserve"> other key project outputs </w:t>
      </w:r>
      <w:r w:rsidR="00AE6140" w:rsidRPr="00AE6140">
        <w:rPr>
          <w:lang w:eastAsia="en-ZA"/>
        </w:rPr>
        <w:t>as determined in the previous steps.</w:t>
      </w:r>
    </w:p>
    <w:p w:rsidR="00160775" w:rsidRDefault="00AE6140" w:rsidP="00B13D45">
      <w:pPr>
        <w:jc w:val="both"/>
        <w:rPr>
          <w:lang w:eastAsia="en-ZA"/>
        </w:rPr>
      </w:pPr>
      <w:r w:rsidRPr="00AE6140">
        <w:rPr>
          <w:lang w:eastAsia="en-ZA"/>
        </w:rPr>
        <w:t>The audit conversion readiness assessment should be documented i</w:t>
      </w:r>
      <w:r w:rsidR="00641CB1">
        <w:rPr>
          <w:lang w:eastAsia="en-ZA"/>
        </w:rPr>
        <w:t>n an internal audit worksheet</w:t>
      </w:r>
      <w:r w:rsidR="00AD2C82">
        <w:rPr>
          <w:lang w:eastAsia="en-ZA"/>
        </w:rPr>
        <w:t>,</w:t>
      </w:r>
      <w:r w:rsidR="00641CB1">
        <w:rPr>
          <w:lang w:eastAsia="en-ZA"/>
        </w:rPr>
        <w:t xml:space="preserve"> </w:t>
      </w:r>
      <w:r w:rsidRPr="00AE6140">
        <w:rPr>
          <w:lang w:eastAsia="en-ZA"/>
        </w:rPr>
        <w:t xml:space="preserve">usually a one- or two-page high-level summary. </w:t>
      </w:r>
    </w:p>
    <w:p w:rsidR="00160775" w:rsidRDefault="00DA2B71" w:rsidP="00B13D45">
      <w:pPr>
        <w:jc w:val="both"/>
        <w:rPr>
          <w:lang w:eastAsia="en-ZA"/>
        </w:rPr>
      </w:pPr>
      <w:r>
        <w:rPr>
          <w:lang w:eastAsia="en-ZA"/>
        </w:rPr>
        <w:t xml:space="preserve">The internal </w:t>
      </w:r>
      <w:r w:rsidR="00AE6140" w:rsidRPr="00AE6140">
        <w:rPr>
          <w:lang w:eastAsia="en-ZA"/>
        </w:rPr>
        <w:t>audit report should</w:t>
      </w:r>
      <w:r w:rsidR="00641CB1">
        <w:rPr>
          <w:lang w:eastAsia="en-ZA"/>
        </w:rPr>
        <w:t xml:space="preserve"> also be provided to management </w:t>
      </w:r>
      <w:r w:rsidR="00AE6140" w:rsidRPr="00AE6140">
        <w:rPr>
          <w:lang w:eastAsia="en-ZA"/>
        </w:rPr>
        <w:t xml:space="preserve">before the solution's implementation. </w:t>
      </w:r>
      <w:r w:rsidR="00641CB1">
        <w:rPr>
          <w:lang w:eastAsia="en-ZA"/>
        </w:rPr>
        <w:t xml:space="preserve"> </w:t>
      </w:r>
    </w:p>
    <w:p w:rsidR="00160775" w:rsidRDefault="002202E5" w:rsidP="00B13D45">
      <w:pPr>
        <w:jc w:val="both"/>
        <w:rPr>
          <w:lang w:eastAsia="en-ZA"/>
        </w:rPr>
      </w:pPr>
      <w:r>
        <w:rPr>
          <w:lang w:eastAsia="en-ZA"/>
        </w:rPr>
        <w:t>A</w:t>
      </w:r>
      <w:r w:rsidRPr="00AE6140">
        <w:rPr>
          <w:lang w:eastAsia="en-ZA"/>
        </w:rPr>
        <w:t>s part of the audit feedback to project management</w:t>
      </w:r>
      <w:r w:rsidR="002173D7">
        <w:rPr>
          <w:lang w:eastAsia="en-ZA"/>
        </w:rPr>
        <w:t>,</w:t>
      </w:r>
      <w:r>
        <w:rPr>
          <w:lang w:eastAsia="en-ZA"/>
        </w:rPr>
        <w:t xml:space="preserve"> </w:t>
      </w:r>
      <w:r w:rsidR="00DA2B71">
        <w:rPr>
          <w:lang w:eastAsia="en-ZA"/>
        </w:rPr>
        <w:t xml:space="preserve">internal </w:t>
      </w:r>
      <w:r>
        <w:rPr>
          <w:lang w:eastAsia="en-ZA"/>
        </w:rPr>
        <w:t>a</w:t>
      </w:r>
      <w:r w:rsidR="00641CB1">
        <w:rPr>
          <w:lang w:eastAsia="en-ZA"/>
        </w:rPr>
        <w:t xml:space="preserve">uditors </w:t>
      </w:r>
      <w:r w:rsidR="00AE6140" w:rsidRPr="00AE6140">
        <w:rPr>
          <w:lang w:eastAsia="en-ZA"/>
        </w:rPr>
        <w:t>should also attend key project management check</w:t>
      </w:r>
      <w:r>
        <w:rPr>
          <w:lang w:eastAsia="en-ZA"/>
        </w:rPr>
        <w:t>-</w:t>
      </w:r>
      <w:r w:rsidR="00AE6140" w:rsidRPr="00AE6140">
        <w:rPr>
          <w:lang w:eastAsia="en-ZA"/>
        </w:rPr>
        <w:t>point meetings and provide their views verbally</w:t>
      </w:r>
      <w:r>
        <w:rPr>
          <w:lang w:eastAsia="en-ZA"/>
        </w:rPr>
        <w:t>.</w:t>
      </w:r>
      <w:r w:rsidR="00AE6140" w:rsidRPr="00AE6140">
        <w:rPr>
          <w:lang w:eastAsia="en-ZA"/>
        </w:rPr>
        <w:t xml:space="preserve"> </w:t>
      </w:r>
    </w:p>
    <w:p w:rsidR="00160775" w:rsidRPr="00B56ED8" w:rsidRDefault="00641CB1" w:rsidP="00B13D45">
      <w:pPr>
        <w:pStyle w:val="Heading2"/>
        <w:jc w:val="both"/>
        <w:rPr>
          <w:color w:val="auto"/>
          <w:lang w:eastAsia="en-ZA"/>
        </w:rPr>
      </w:pPr>
      <w:bookmarkStart w:id="49" w:name="_Toc466031769"/>
      <w:bookmarkStart w:id="50" w:name="_Toc466031910"/>
      <w:bookmarkStart w:id="51" w:name="_Toc466032382"/>
      <w:r w:rsidRPr="00B56ED8">
        <w:rPr>
          <w:color w:val="auto"/>
          <w:lang w:eastAsia="en-ZA"/>
        </w:rPr>
        <w:t>Step</w:t>
      </w:r>
      <w:r w:rsidR="003464DD" w:rsidRPr="00B56ED8">
        <w:rPr>
          <w:color w:val="auto"/>
          <w:lang w:eastAsia="en-ZA"/>
        </w:rPr>
        <w:t xml:space="preserve"> </w:t>
      </w:r>
      <w:r w:rsidR="00DA2B71" w:rsidRPr="00B56ED8">
        <w:rPr>
          <w:color w:val="auto"/>
          <w:lang w:eastAsia="en-ZA"/>
        </w:rPr>
        <w:t>7</w:t>
      </w:r>
      <w:r w:rsidRPr="00B56ED8">
        <w:rPr>
          <w:color w:val="auto"/>
          <w:lang w:eastAsia="en-ZA"/>
        </w:rPr>
        <w:t xml:space="preserve">:  </w:t>
      </w:r>
      <w:r w:rsidR="00AE6140" w:rsidRPr="00B56ED8">
        <w:rPr>
          <w:color w:val="auto"/>
          <w:lang w:eastAsia="en-ZA"/>
        </w:rPr>
        <w:t>Develop and exec</w:t>
      </w:r>
      <w:r w:rsidRPr="00B56ED8">
        <w:rPr>
          <w:color w:val="auto"/>
          <w:lang w:eastAsia="en-ZA"/>
        </w:rPr>
        <w:t>ute the audit verification plan</w:t>
      </w:r>
      <w:bookmarkEnd w:id="49"/>
      <w:bookmarkEnd w:id="50"/>
      <w:bookmarkEnd w:id="51"/>
    </w:p>
    <w:p w:rsidR="00160775" w:rsidRDefault="00AE6140" w:rsidP="00B13D45">
      <w:pPr>
        <w:jc w:val="both"/>
        <w:rPr>
          <w:lang w:eastAsia="en-ZA"/>
        </w:rPr>
      </w:pPr>
      <w:r w:rsidRPr="00AE6140">
        <w:rPr>
          <w:lang w:eastAsia="en-ZA"/>
        </w:rPr>
        <w:t xml:space="preserve">Internal auditors should complete the detailed audit program to review production implementation. </w:t>
      </w:r>
      <w:r w:rsidR="00641CB1">
        <w:rPr>
          <w:lang w:eastAsia="en-ZA"/>
        </w:rPr>
        <w:t xml:space="preserve"> </w:t>
      </w:r>
      <w:r w:rsidRPr="00AE6140">
        <w:rPr>
          <w:lang w:eastAsia="en-ZA"/>
        </w:rPr>
        <w:t>At implementation, managemen</w:t>
      </w:r>
      <w:r w:rsidR="00DA2B71">
        <w:rPr>
          <w:lang w:eastAsia="en-ZA"/>
        </w:rPr>
        <w:t xml:space="preserve">t, council and the audit committee </w:t>
      </w:r>
      <w:r w:rsidRPr="00AE6140">
        <w:rPr>
          <w:lang w:eastAsia="en-ZA"/>
        </w:rPr>
        <w:t xml:space="preserve">will look to internal auditors to provide additional assurance that the implementation is executed prudently and successfully. </w:t>
      </w:r>
      <w:r w:rsidR="00641CB1">
        <w:rPr>
          <w:lang w:eastAsia="en-ZA"/>
        </w:rPr>
        <w:t xml:space="preserve"> </w:t>
      </w:r>
    </w:p>
    <w:p w:rsidR="00160775" w:rsidRDefault="00AE6140" w:rsidP="00B13D45">
      <w:pPr>
        <w:jc w:val="both"/>
        <w:rPr>
          <w:lang w:eastAsia="en-ZA"/>
        </w:rPr>
      </w:pPr>
      <w:r w:rsidRPr="00AE6140">
        <w:rPr>
          <w:lang w:eastAsia="en-ZA"/>
        </w:rPr>
        <w:t>The audit tests will usually focus on reviewing the results of the project team</w:t>
      </w:r>
      <w:r w:rsidR="00773026">
        <w:rPr>
          <w:lang w:eastAsia="en-ZA"/>
        </w:rPr>
        <w:t>-</w:t>
      </w:r>
      <w:r w:rsidRPr="00AE6140">
        <w:rPr>
          <w:lang w:eastAsia="en-ZA"/>
        </w:rPr>
        <w:t xml:space="preserve"> and business unit's test results.</w:t>
      </w:r>
      <w:r w:rsidR="00641CB1">
        <w:rPr>
          <w:lang w:eastAsia="en-ZA"/>
        </w:rPr>
        <w:t xml:space="preserve">  </w:t>
      </w:r>
      <w:r w:rsidRPr="00AE6140">
        <w:rPr>
          <w:lang w:eastAsia="en-ZA"/>
        </w:rPr>
        <w:t xml:space="preserve">This includes reviewing the results of the </w:t>
      </w:r>
      <w:r w:rsidR="009679E7" w:rsidRPr="00AE6140">
        <w:rPr>
          <w:lang w:eastAsia="en-ZA"/>
        </w:rPr>
        <w:t>start-up</w:t>
      </w:r>
      <w:r w:rsidRPr="00AE6140">
        <w:rPr>
          <w:lang w:eastAsia="en-ZA"/>
        </w:rPr>
        <w:t xml:space="preserve"> at the first site and monitoring the rollout at the other sites if the conversion is a multi-site implementation. </w:t>
      </w:r>
      <w:r w:rsidR="00641CB1">
        <w:rPr>
          <w:lang w:eastAsia="en-ZA"/>
        </w:rPr>
        <w:t xml:space="preserve"> </w:t>
      </w:r>
    </w:p>
    <w:p w:rsidR="00160775" w:rsidRDefault="00AE6140" w:rsidP="00B13D45">
      <w:pPr>
        <w:jc w:val="both"/>
        <w:rPr>
          <w:lang w:eastAsia="en-ZA"/>
        </w:rPr>
      </w:pPr>
      <w:r w:rsidRPr="00AE6140">
        <w:rPr>
          <w:lang w:eastAsia="en-ZA"/>
        </w:rPr>
        <w:t>A review of the testing of the initial production operations using the new solution should also be completed. </w:t>
      </w:r>
    </w:p>
    <w:p w:rsidR="00160775" w:rsidRPr="00B56ED8" w:rsidRDefault="00641CB1" w:rsidP="00B13D45">
      <w:pPr>
        <w:pStyle w:val="Heading2"/>
        <w:jc w:val="both"/>
        <w:rPr>
          <w:color w:val="auto"/>
          <w:lang w:eastAsia="en-ZA"/>
        </w:rPr>
      </w:pPr>
      <w:bookmarkStart w:id="52" w:name="_Ref456442112"/>
      <w:bookmarkStart w:id="53" w:name="_Toc466031770"/>
      <w:bookmarkStart w:id="54" w:name="_Toc466031911"/>
      <w:bookmarkStart w:id="55" w:name="_Toc466032383"/>
      <w:r w:rsidRPr="00B56ED8">
        <w:rPr>
          <w:color w:val="auto"/>
          <w:lang w:eastAsia="en-ZA"/>
        </w:rPr>
        <w:t>Step</w:t>
      </w:r>
      <w:r w:rsidR="001B14B7" w:rsidRPr="00B56ED8">
        <w:rPr>
          <w:color w:val="auto"/>
          <w:lang w:eastAsia="en-ZA"/>
        </w:rPr>
        <w:t xml:space="preserve"> 8</w:t>
      </w:r>
      <w:r w:rsidRPr="00B56ED8">
        <w:rPr>
          <w:color w:val="auto"/>
          <w:lang w:eastAsia="en-ZA"/>
        </w:rPr>
        <w:t xml:space="preserve">:  </w:t>
      </w:r>
      <w:r w:rsidR="00AE6140" w:rsidRPr="00B56ED8">
        <w:rPr>
          <w:color w:val="auto"/>
          <w:lang w:eastAsia="en-ZA"/>
        </w:rPr>
        <w:t xml:space="preserve">Complete the </w:t>
      </w:r>
      <w:r w:rsidR="009679E7" w:rsidRPr="00B56ED8">
        <w:rPr>
          <w:color w:val="auto"/>
          <w:lang w:eastAsia="en-ZA"/>
        </w:rPr>
        <w:t>O</w:t>
      </w:r>
      <w:r w:rsidR="00AE6140" w:rsidRPr="00B56ED8">
        <w:rPr>
          <w:color w:val="auto"/>
          <w:lang w:eastAsia="en-ZA"/>
        </w:rPr>
        <w:t xml:space="preserve">verall </w:t>
      </w:r>
      <w:r w:rsidR="009679E7" w:rsidRPr="00B56ED8">
        <w:rPr>
          <w:color w:val="auto"/>
          <w:lang w:eastAsia="en-ZA"/>
        </w:rPr>
        <w:t>A</w:t>
      </w:r>
      <w:r w:rsidR="00AE6140" w:rsidRPr="00B56ED8">
        <w:rPr>
          <w:color w:val="auto"/>
          <w:lang w:eastAsia="en-ZA"/>
        </w:rPr>
        <w:t>udit</w:t>
      </w:r>
      <w:r w:rsidRPr="00B56ED8">
        <w:rPr>
          <w:color w:val="auto"/>
          <w:lang w:eastAsia="en-ZA"/>
        </w:rPr>
        <w:t xml:space="preserve"> </w:t>
      </w:r>
      <w:r w:rsidR="009679E7" w:rsidRPr="00B56ED8">
        <w:rPr>
          <w:color w:val="auto"/>
          <w:lang w:eastAsia="en-ZA"/>
        </w:rPr>
        <w:t>A</w:t>
      </w:r>
      <w:r w:rsidRPr="00B56ED8">
        <w:rPr>
          <w:color w:val="auto"/>
          <w:lang w:eastAsia="en-ZA"/>
        </w:rPr>
        <w:t xml:space="preserve">nalysis of the </w:t>
      </w:r>
      <w:r w:rsidR="009679E7" w:rsidRPr="00B56ED8">
        <w:rPr>
          <w:color w:val="auto"/>
          <w:lang w:eastAsia="en-ZA"/>
        </w:rPr>
        <w:t>I</w:t>
      </w:r>
      <w:r w:rsidRPr="00B56ED8">
        <w:rPr>
          <w:color w:val="auto"/>
          <w:lang w:eastAsia="en-ZA"/>
        </w:rPr>
        <w:t>mplementation</w:t>
      </w:r>
      <w:bookmarkEnd w:id="52"/>
      <w:bookmarkEnd w:id="53"/>
      <w:bookmarkEnd w:id="54"/>
      <w:bookmarkEnd w:id="55"/>
    </w:p>
    <w:p w:rsidR="00160775" w:rsidRDefault="00AE6140" w:rsidP="00B13D45">
      <w:pPr>
        <w:jc w:val="both"/>
        <w:rPr>
          <w:lang w:eastAsia="en-ZA"/>
        </w:rPr>
      </w:pPr>
      <w:r w:rsidRPr="00AE6140">
        <w:rPr>
          <w:lang w:eastAsia="en-ZA"/>
        </w:rPr>
        <w:t xml:space="preserve">Internal auditors should complete the audit analysis of the results of the implementation and the management actions that </w:t>
      </w:r>
      <w:r w:rsidR="00C77E6E">
        <w:rPr>
          <w:lang w:eastAsia="en-ZA"/>
        </w:rPr>
        <w:t>had</w:t>
      </w:r>
      <w:r w:rsidRPr="00AE6140">
        <w:rPr>
          <w:lang w:eastAsia="en-ZA"/>
        </w:rPr>
        <w:t xml:space="preserve"> been completed to address any issues</w:t>
      </w:r>
      <w:r w:rsidR="003C0B63">
        <w:rPr>
          <w:lang w:eastAsia="en-ZA"/>
        </w:rPr>
        <w:t xml:space="preserve"> that were</w:t>
      </w:r>
      <w:r w:rsidRPr="00AE6140">
        <w:rPr>
          <w:lang w:eastAsia="en-ZA"/>
        </w:rPr>
        <w:t xml:space="preserve"> raised during the actual implementation. </w:t>
      </w:r>
      <w:r w:rsidR="00641CB1">
        <w:rPr>
          <w:lang w:eastAsia="en-ZA"/>
        </w:rPr>
        <w:t xml:space="preserve"> </w:t>
      </w:r>
    </w:p>
    <w:p w:rsidR="00160775" w:rsidRDefault="006D0D82" w:rsidP="00B13D45">
      <w:pPr>
        <w:jc w:val="both"/>
        <w:rPr>
          <w:lang w:eastAsia="en-ZA"/>
        </w:rPr>
      </w:pPr>
      <w:r>
        <w:rPr>
          <w:lang w:eastAsia="en-ZA"/>
        </w:rPr>
        <w:t>In m</w:t>
      </w:r>
      <w:r w:rsidR="00AE6140" w:rsidRPr="00AE6140">
        <w:rPr>
          <w:lang w:eastAsia="en-ZA"/>
        </w:rPr>
        <w:t xml:space="preserve">ajor conversions with </w:t>
      </w:r>
      <w:r w:rsidR="009679E7">
        <w:rPr>
          <w:lang w:eastAsia="en-ZA"/>
        </w:rPr>
        <w:t xml:space="preserve">many </w:t>
      </w:r>
      <w:r w:rsidR="00AE6140" w:rsidRPr="00AE6140">
        <w:rPr>
          <w:lang w:eastAsia="en-ZA"/>
        </w:rPr>
        <w:t xml:space="preserve">implementation activities, some operational issues </w:t>
      </w:r>
      <w:r w:rsidR="00F56985" w:rsidRPr="00AE6140">
        <w:rPr>
          <w:lang w:eastAsia="en-ZA"/>
        </w:rPr>
        <w:t>that were</w:t>
      </w:r>
      <w:r w:rsidR="00F56985">
        <w:rPr>
          <w:lang w:eastAsia="en-ZA"/>
        </w:rPr>
        <w:t xml:space="preserve"> </w:t>
      </w:r>
      <w:r w:rsidR="00F56985" w:rsidRPr="00AE6140">
        <w:rPr>
          <w:lang w:eastAsia="en-ZA"/>
        </w:rPr>
        <w:t xml:space="preserve">not considered ahead of time </w:t>
      </w:r>
      <w:r w:rsidR="00AE6140" w:rsidRPr="00AE6140">
        <w:rPr>
          <w:lang w:eastAsia="en-ZA"/>
        </w:rPr>
        <w:t xml:space="preserve">may need to be addressed during implementation. </w:t>
      </w:r>
      <w:r w:rsidR="00641CB1">
        <w:rPr>
          <w:lang w:eastAsia="en-ZA"/>
        </w:rPr>
        <w:t xml:space="preserve"> </w:t>
      </w:r>
      <w:r w:rsidR="00AE6140" w:rsidRPr="00AE6140">
        <w:rPr>
          <w:lang w:eastAsia="en-ZA"/>
        </w:rPr>
        <w:t xml:space="preserve">For example, an obscure data conversion problem may occur for a minor data element, requiring manual corrections to be instituted to allow the implementation to go forward. </w:t>
      </w:r>
      <w:r w:rsidR="00641CB1">
        <w:rPr>
          <w:lang w:eastAsia="en-ZA"/>
        </w:rPr>
        <w:t xml:space="preserve"> </w:t>
      </w:r>
      <w:r w:rsidR="00AE6140" w:rsidRPr="00AE6140">
        <w:rPr>
          <w:lang w:eastAsia="en-ZA"/>
        </w:rPr>
        <w:t>Management review of this manual effort</w:t>
      </w:r>
      <w:r w:rsidR="00165427">
        <w:rPr>
          <w:lang w:eastAsia="en-ZA"/>
        </w:rPr>
        <w:t>,</w:t>
      </w:r>
      <w:r w:rsidR="00AE6140" w:rsidRPr="00AE6140">
        <w:rPr>
          <w:lang w:eastAsia="en-ZA"/>
        </w:rPr>
        <w:t xml:space="preserve"> following implementation</w:t>
      </w:r>
      <w:r w:rsidR="00165427">
        <w:rPr>
          <w:lang w:eastAsia="en-ZA"/>
        </w:rPr>
        <w:t>,</w:t>
      </w:r>
      <w:r w:rsidR="00AE6140" w:rsidRPr="00AE6140">
        <w:rPr>
          <w:lang w:eastAsia="en-ZA"/>
        </w:rPr>
        <w:t xml:space="preserve"> might be recommended to ensure nothing significant was missed.</w:t>
      </w:r>
    </w:p>
    <w:p w:rsidR="00160775" w:rsidRDefault="00641CB1" w:rsidP="00B13D45">
      <w:pPr>
        <w:jc w:val="both"/>
        <w:rPr>
          <w:lang w:eastAsia="en-ZA"/>
        </w:rPr>
      </w:pPr>
      <w:r>
        <w:rPr>
          <w:lang w:eastAsia="en-ZA"/>
        </w:rPr>
        <w:t>D</w:t>
      </w:r>
      <w:r w:rsidR="00AE6140" w:rsidRPr="00AE6140">
        <w:rPr>
          <w:lang w:eastAsia="en-ZA"/>
        </w:rPr>
        <w:t xml:space="preserve">ecommissioning the old system can be another challenge facing management, </w:t>
      </w:r>
      <w:r w:rsidR="00F9716D">
        <w:rPr>
          <w:lang w:eastAsia="en-ZA"/>
        </w:rPr>
        <w:t xml:space="preserve">in </w:t>
      </w:r>
      <w:r w:rsidR="00AE6140" w:rsidRPr="00AE6140">
        <w:rPr>
          <w:lang w:eastAsia="en-ZA"/>
        </w:rPr>
        <w:t xml:space="preserve">ensuring appropriate efforts are </w:t>
      </w:r>
      <w:r w:rsidR="0040296C" w:rsidRPr="00AE6140">
        <w:rPr>
          <w:lang w:eastAsia="en-ZA"/>
        </w:rPr>
        <w:t xml:space="preserve">completed </w:t>
      </w:r>
      <w:r w:rsidR="0040296C">
        <w:rPr>
          <w:lang w:eastAsia="en-ZA"/>
        </w:rPr>
        <w:t>for</w:t>
      </w:r>
      <w:r w:rsidR="00F9716D">
        <w:rPr>
          <w:lang w:eastAsia="en-ZA"/>
        </w:rPr>
        <w:t xml:space="preserve"> </w:t>
      </w:r>
      <w:r w:rsidR="00AE6140" w:rsidRPr="00AE6140">
        <w:rPr>
          <w:lang w:eastAsia="en-ZA"/>
        </w:rPr>
        <w:t xml:space="preserve">this area </w:t>
      </w:r>
      <w:r w:rsidR="00C97DD3">
        <w:rPr>
          <w:lang w:eastAsia="en-ZA"/>
        </w:rPr>
        <w:t xml:space="preserve">to be </w:t>
      </w:r>
      <w:r w:rsidR="00AE6140" w:rsidRPr="00AE6140">
        <w:rPr>
          <w:lang w:eastAsia="en-ZA"/>
        </w:rPr>
        <w:t xml:space="preserve">productive. </w:t>
      </w:r>
      <w:r>
        <w:rPr>
          <w:lang w:eastAsia="en-ZA"/>
        </w:rPr>
        <w:t xml:space="preserve"> </w:t>
      </w:r>
      <w:r w:rsidR="00BC7E9F">
        <w:rPr>
          <w:lang w:eastAsia="en-ZA"/>
        </w:rPr>
        <w:t>Reviewing the archiving and retrieval controls from the old system to ensure that access to the information is available and adequately protected should not be neglected.</w:t>
      </w:r>
    </w:p>
    <w:p w:rsidR="00160775" w:rsidRDefault="00AE6140" w:rsidP="00B13D45">
      <w:pPr>
        <w:jc w:val="both"/>
        <w:rPr>
          <w:lang w:eastAsia="en-ZA"/>
        </w:rPr>
      </w:pPr>
      <w:r w:rsidRPr="00AE6140">
        <w:rPr>
          <w:lang w:eastAsia="en-ZA"/>
        </w:rPr>
        <w:t>A post-implementation audit report on the adequacy</w:t>
      </w:r>
      <w:r w:rsidR="00BC7E9F">
        <w:rPr>
          <w:lang w:eastAsia="en-ZA"/>
        </w:rPr>
        <w:t>, effectiveness</w:t>
      </w:r>
      <w:r w:rsidRPr="00AE6140">
        <w:rPr>
          <w:lang w:eastAsia="en-ZA"/>
        </w:rPr>
        <w:t xml:space="preserve"> and accuracy of the implementation should be developed and presented to management. </w:t>
      </w:r>
      <w:r w:rsidR="00641CB1">
        <w:rPr>
          <w:lang w:eastAsia="en-ZA"/>
        </w:rPr>
        <w:t xml:space="preserve"> </w:t>
      </w:r>
    </w:p>
    <w:p w:rsidR="00160775" w:rsidRDefault="00DA2B71" w:rsidP="00B13D45">
      <w:pPr>
        <w:jc w:val="both"/>
        <w:rPr>
          <w:lang w:eastAsia="en-ZA"/>
        </w:rPr>
      </w:pPr>
      <w:r>
        <w:rPr>
          <w:lang w:eastAsia="en-ZA"/>
        </w:rPr>
        <w:t>The internal a</w:t>
      </w:r>
      <w:r w:rsidR="00AE6140" w:rsidRPr="00AE6140">
        <w:rPr>
          <w:lang w:eastAsia="en-ZA"/>
        </w:rPr>
        <w:t>uditors should complete the working paper file.</w:t>
      </w:r>
    </w:p>
    <w:p w:rsidR="005760C7" w:rsidRPr="00B56ED8" w:rsidRDefault="005760C7" w:rsidP="00B56ED8">
      <w:pPr>
        <w:pStyle w:val="Heading2"/>
        <w:keepNext w:val="0"/>
        <w:keepLines w:val="0"/>
        <w:suppressAutoHyphens/>
        <w:autoSpaceDN w:val="0"/>
        <w:spacing w:before="240" w:after="240"/>
        <w:ind w:left="284" w:right="0" w:hanging="284"/>
        <w:textAlignment w:val="baseline"/>
        <w:rPr>
          <w:rFonts w:ascii="Arial" w:eastAsia="MS Mincho" w:hAnsi="Arial" w:cs="Arial"/>
          <w:bCs w:val="0"/>
          <w:color w:val="auto"/>
          <w:szCs w:val="24"/>
          <w:lang w:eastAsia="en-ZA"/>
        </w:rPr>
      </w:pPr>
      <w:bookmarkStart w:id="56" w:name="_Toc466031771"/>
      <w:bookmarkStart w:id="57" w:name="_Toc466031912"/>
      <w:bookmarkStart w:id="58" w:name="_Toc466032384"/>
      <w:r w:rsidRPr="00B56ED8">
        <w:rPr>
          <w:rFonts w:ascii="Arial" w:eastAsia="MS Mincho" w:hAnsi="Arial" w:cs="Arial"/>
          <w:bCs w:val="0"/>
          <w:color w:val="auto"/>
          <w:szCs w:val="24"/>
          <w:lang w:eastAsia="en-ZA"/>
        </w:rPr>
        <w:t>Reporting and Concluding</w:t>
      </w:r>
      <w:bookmarkEnd w:id="56"/>
      <w:bookmarkEnd w:id="57"/>
      <w:bookmarkEnd w:id="58"/>
    </w:p>
    <w:p w:rsidR="005760C7" w:rsidRDefault="005760C7" w:rsidP="00B13D45">
      <w:pPr>
        <w:jc w:val="both"/>
        <w:rPr>
          <w:lang w:eastAsia="en-ZA"/>
        </w:rPr>
      </w:pPr>
      <w:r w:rsidRPr="00AE6140">
        <w:rPr>
          <w:lang w:eastAsia="en-ZA"/>
        </w:rPr>
        <w:t>Reporting of audi</w:t>
      </w:r>
      <w:r>
        <w:rPr>
          <w:lang w:eastAsia="en-ZA"/>
        </w:rPr>
        <w:t>t results can also be flexible, f</w:t>
      </w:r>
      <w:r w:rsidRPr="00AE6140">
        <w:rPr>
          <w:lang w:eastAsia="en-ZA"/>
        </w:rPr>
        <w:t>or example, if the auditors feel it is important to communicate concerns, they can do so througho</w:t>
      </w:r>
      <w:r>
        <w:rPr>
          <w:lang w:eastAsia="en-ZA"/>
        </w:rPr>
        <w:t xml:space="preserve">ut the project; otherwise, they </w:t>
      </w:r>
      <w:r w:rsidRPr="00AE6140">
        <w:rPr>
          <w:lang w:eastAsia="en-ZA"/>
        </w:rPr>
        <w:t xml:space="preserve">should normally produce written pre-implementation and post-implementation audit reports. </w:t>
      </w:r>
      <w:r>
        <w:rPr>
          <w:lang w:eastAsia="en-ZA"/>
        </w:rPr>
        <w:t xml:space="preserve"> </w:t>
      </w:r>
      <w:r w:rsidRPr="00AE6140">
        <w:rPr>
          <w:lang w:eastAsia="en-ZA"/>
        </w:rPr>
        <w:t xml:space="preserve">By being involved early in the IT project, auditors can informally raise questions and suggestions that influence a project without actually making formal audit recommendations. </w:t>
      </w:r>
    </w:p>
    <w:p w:rsidR="004659D6" w:rsidRDefault="00DA2B71" w:rsidP="00B13D45">
      <w:pPr>
        <w:jc w:val="both"/>
      </w:pPr>
      <w:r>
        <w:t>Internal audit</w:t>
      </w:r>
      <w:r w:rsidR="005760C7">
        <w:t xml:space="preserve"> </w:t>
      </w:r>
      <w:r w:rsidR="005760C7" w:rsidRPr="00AE6140">
        <w:t>should voice concerns during the project if they believe management is not taking the more informal recommen</w:t>
      </w:r>
      <w:r w:rsidR="005760C7">
        <w:t xml:space="preserve">dations seriously and they feel their concerns </w:t>
      </w:r>
      <w:r w:rsidR="005760C7" w:rsidRPr="00AE6140">
        <w:t>need to be escalated to senior managem</w:t>
      </w:r>
      <w:r w:rsidR="005760C7">
        <w:t xml:space="preserve">ent or the audit committee. </w:t>
      </w:r>
      <w:r>
        <w:t xml:space="preserve"> The internal a</w:t>
      </w:r>
      <w:r w:rsidR="005760C7" w:rsidRPr="00AE6140">
        <w:t>uditors typically report to the audit committee twice a year about IT projects, detailing audit efforts that are in progress but have not been reported to senior management</w:t>
      </w:r>
      <w:r w:rsidR="005760C7">
        <w:t>.</w:t>
      </w:r>
    </w:p>
    <w:p w:rsidR="00DA2B71" w:rsidRPr="00B56ED8" w:rsidRDefault="00DA2B71" w:rsidP="00B56ED8">
      <w:pPr>
        <w:pStyle w:val="Heading2"/>
        <w:keepNext w:val="0"/>
        <w:keepLines w:val="0"/>
        <w:suppressAutoHyphens/>
        <w:autoSpaceDN w:val="0"/>
        <w:spacing w:before="240" w:after="240"/>
        <w:ind w:left="284" w:right="0" w:hanging="284"/>
        <w:textAlignment w:val="baseline"/>
        <w:rPr>
          <w:rFonts w:ascii="Arial" w:eastAsia="MS Mincho" w:hAnsi="Arial" w:cs="Arial"/>
          <w:bCs w:val="0"/>
          <w:color w:val="auto"/>
          <w:szCs w:val="24"/>
          <w:lang w:eastAsia="en-ZA"/>
        </w:rPr>
      </w:pPr>
      <w:bookmarkStart w:id="59" w:name="_Toc466031772"/>
      <w:bookmarkStart w:id="60" w:name="_Toc466031913"/>
      <w:bookmarkStart w:id="61" w:name="_Toc466032385"/>
      <w:r w:rsidRPr="00B56ED8">
        <w:rPr>
          <w:rFonts w:ascii="Arial" w:eastAsia="MS Mincho" w:hAnsi="Arial" w:cs="Arial"/>
          <w:bCs w:val="0"/>
          <w:color w:val="auto"/>
          <w:szCs w:val="24"/>
          <w:lang w:eastAsia="en-ZA"/>
        </w:rPr>
        <w:t>CONCLUSION</w:t>
      </w:r>
      <w:bookmarkEnd w:id="59"/>
      <w:bookmarkEnd w:id="60"/>
      <w:bookmarkEnd w:id="61"/>
    </w:p>
    <w:p w:rsidR="000A3DDB" w:rsidRDefault="000A3DDB" w:rsidP="00B13D45">
      <w:pPr>
        <w:jc w:val="both"/>
      </w:pPr>
      <w:r w:rsidRPr="00DE7E00">
        <w:t xml:space="preserve">Internal </w:t>
      </w:r>
      <w:r>
        <w:t>a</w:t>
      </w:r>
      <w:r w:rsidRPr="00DE7E00">
        <w:t xml:space="preserve">udit can help with both the decision to go live and </w:t>
      </w:r>
      <w:r w:rsidR="00DA7C21">
        <w:t xml:space="preserve">in </w:t>
      </w:r>
      <w:r w:rsidRPr="00DE7E00">
        <w:t>measuring the success of the program applying a lens of</w:t>
      </w:r>
      <w:r>
        <w:t xml:space="preserve"> people, process and technology.  The involvement of internal audit at an early stage of the project life cycle towards mSCOA implementation is critically important.   </w:t>
      </w:r>
    </w:p>
    <w:p w:rsidR="004659D6" w:rsidRDefault="004659D6" w:rsidP="00B13D45">
      <w:pPr>
        <w:jc w:val="both"/>
      </w:pPr>
      <w:r w:rsidRPr="00CD0515">
        <w:t>A quote from an article published by the Institute of Internal Auditors</w:t>
      </w:r>
      <w:r w:rsidR="00D62104" w:rsidRPr="00CD0515">
        <w:t>: “</w:t>
      </w:r>
      <w:r w:rsidRPr="00CD0515">
        <w:t xml:space="preserve">A Conversion to a new system is one of the highest risks that any organisation can face, internal auditor’s involvement and independent assessment of the issues and project plans can provide value far in excess of the audit’s costs. </w:t>
      </w:r>
      <w:r w:rsidR="00B71E34">
        <w:t>“</w:t>
      </w:r>
    </w:p>
    <w:p w:rsidR="00BA7159" w:rsidRPr="00B56ED8" w:rsidRDefault="00BA7159" w:rsidP="00B56ED8">
      <w:pPr>
        <w:pStyle w:val="Heading2"/>
        <w:keepNext w:val="0"/>
        <w:keepLines w:val="0"/>
        <w:suppressAutoHyphens/>
        <w:autoSpaceDN w:val="0"/>
        <w:spacing w:before="240" w:after="240"/>
        <w:ind w:left="284" w:right="0" w:hanging="284"/>
        <w:textAlignment w:val="baseline"/>
        <w:rPr>
          <w:rFonts w:ascii="Arial" w:eastAsia="MS Mincho" w:hAnsi="Arial" w:cs="Arial"/>
          <w:bCs w:val="0"/>
          <w:color w:val="auto"/>
          <w:szCs w:val="24"/>
          <w:lang w:eastAsia="en-ZA"/>
        </w:rPr>
      </w:pPr>
      <w:bookmarkStart w:id="62" w:name="_Toc466031773"/>
      <w:bookmarkStart w:id="63" w:name="_Toc466031914"/>
      <w:bookmarkStart w:id="64" w:name="_Toc466032386"/>
      <w:bookmarkStart w:id="65" w:name="_Toc456353329"/>
      <w:r w:rsidRPr="00B56ED8">
        <w:rPr>
          <w:rFonts w:ascii="Arial" w:eastAsia="MS Mincho" w:hAnsi="Arial" w:cs="Arial"/>
          <w:bCs w:val="0"/>
          <w:color w:val="auto"/>
          <w:szCs w:val="24"/>
          <w:lang w:eastAsia="en-ZA"/>
        </w:rPr>
        <w:t>RECOMMENDATION</w:t>
      </w:r>
      <w:bookmarkEnd w:id="62"/>
      <w:bookmarkEnd w:id="63"/>
      <w:bookmarkEnd w:id="64"/>
      <w:r w:rsidRPr="00B56ED8">
        <w:rPr>
          <w:rFonts w:ascii="Arial" w:eastAsia="MS Mincho" w:hAnsi="Arial" w:cs="Arial"/>
          <w:bCs w:val="0"/>
          <w:color w:val="auto"/>
          <w:szCs w:val="24"/>
          <w:lang w:eastAsia="en-ZA"/>
        </w:rPr>
        <w:t xml:space="preserve"> </w:t>
      </w:r>
      <w:bookmarkEnd w:id="65"/>
    </w:p>
    <w:p w:rsidR="00BA7159" w:rsidRPr="0039363A" w:rsidRDefault="00BA7159" w:rsidP="0039363A">
      <w:pPr>
        <w:numPr>
          <w:ilvl w:val="0"/>
          <w:numId w:val="0"/>
        </w:numPr>
        <w:ind w:left="567" w:right="0" w:hanging="567"/>
        <w:jc w:val="both"/>
      </w:pPr>
      <w:r w:rsidRPr="0039363A">
        <w:t xml:space="preserve">The </w:t>
      </w:r>
      <w:proofErr w:type="spellStart"/>
      <w:r w:rsidRPr="0039363A">
        <w:t>mSCOA</w:t>
      </w:r>
      <w:proofErr w:type="spellEnd"/>
      <w:r w:rsidRPr="0039363A">
        <w:t xml:space="preserve"> Project Steering Committee to note:</w:t>
      </w:r>
    </w:p>
    <w:p w:rsidR="00BA7159" w:rsidRPr="0039363A" w:rsidRDefault="00BA7159" w:rsidP="00B13D45">
      <w:pPr>
        <w:pStyle w:val="BulletLevelParagraph"/>
        <w:numPr>
          <w:ilvl w:val="3"/>
          <w:numId w:val="38"/>
        </w:numPr>
        <w:ind w:left="1135" w:hanging="284"/>
        <w:rPr>
          <w:sz w:val="22"/>
          <w:szCs w:val="22"/>
        </w:rPr>
      </w:pPr>
      <w:r w:rsidRPr="0039363A">
        <w:rPr>
          <w:sz w:val="22"/>
          <w:szCs w:val="22"/>
        </w:rPr>
        <w:t>Version1 of this Position Paper on Debt Impairment and Write-off was discussed and presented to the ICF at the 9 September 2015</w:t>
      </w:r>
      <w:r w:rsidR="00424CD1" w:rsidRPr="0039363A">
        <w:rPr>
          <w:sz w:val="22"/>
          <w:szCs w:val="22"/>
        </w:rPr>
        <w:t xml:space="preserve"> meeting</w:t>
      </w:r>
      <w:r w:rsidRPr="0039363A">
        <w:rPr>
          <w:sz w:val="22"/>
          <w:szCs w:val="22"/>
        </w:rPr>
        <w:t>.</w:t>
      </w:r>
    </w:p>
    <w:p w:rsidR="00BA7159" w:rsidRPr="0039363A" w:rsidRDefault="00BA7159" w:rsidP="00B13D45">
      <w:pPr>
        <w:pStyle w:val="BulletLevelParagraph"/>
        <w:numPr>
          <w:ilvl w:val="3"/>
          <w:numId w:val="38"/>
        </w:numPr>
        <w:ind w:left="1135" w:hanging="284"/>
        <w:rPr>
          <w:sz w:val="22"/>
          <w:szCs w:val="22"/>
        </w:rPr>
      </w:pPr>
      <w:r w:rsidRPr="0039363A">
        <w:rPr>
          <w:sz w:val="22"/>
          <w:szCs w:val="22"/>
        </w:rPr>
        <w:t>Content discussed and agreement reached by the OAG with the ASB on 15 February 2016.</w:t>
      </w:r>
    </w:p>
    <w:p w:rsidR="00BA7159" w:rsidRPr="0039363A" w:rsidRDefault="00BA7159" w:rsidP="00B13D45">
      <w:pPr>
        <w:pStyle w:val="BulletLevelParagraph"/>
        <w:numPr>
          <w:ilvl w:val="3"/>
          <w:numId w:val="38"/>
        </w:numPr>
        <w:ind w:left="1135" w:hanging="284"/>
        <w:rPr>
          <w:sz w:val="22"/>
          <w:szCs w:val="22"/>
        </w:rPr>
      </w:pPr>
      <w:r w:rsidRPr="0039363A">
        <w:rPr>
          <w:sz w:val="22"/>
          <w:szCs w:val="22"/>
        </w:rPr>
        <w:t xml:space="preserve">Comment period offered to the ASB Forum Members and invitation extended to all municipalities / provincial treasuries from beginning of March to 8 April 2016.  Comments received up to 12 July 2016 considered in finalisation of the Position Paper.  </w:t>
      </w:r>
    </w:p>
    <w:p w:rsidR="00BA7159" w:rsidRPr="0039363A" w:rsidRDefault="00BA7159" w:rsidP="00B13D45">
      <w:pPr>
        <w:pStyle w:val="BulletLevelParagraph"/>
        <w:numPr>
          <w:ilvl w:val="3"/>
          <w:numId w:val="38"/>
        </w:numPr>
        <w:ind w:left="1135" w:hanging="284"/>
        <w:rPr>
          <w:sz w:val="22"/>
          <w:szCs w:val="22"/>
        </w:rPr>
      </w:pPr>
      <w:r w:rsidRPr="0039363A">
        <w:rPr>
          <w:sz w:val="22"/>
          <w:szCs w:val="22"/>
        </w:rPr>
        <w:t xml:space="preserve">Position Paper to be recommended for publishing to the National Treasury Web.  </w:t>
      </w:r>
    </w:p>
    <w:p w:rsidR="0039363A" w:rsidRDefault="0039363A" w:rsidP="00B56ED8">
      <w:pPr>
        <w:pStyle w:val="Heading2"/>
        <w:keepNext w:val="0"/>
        <w:keepLines w:val="0"/>
        <w:suppressAutoHyphens/>
        <w:autoSpaceDN w:val="0"/>
        <w:spacing w:before="240" w:after="240"/>
        <w:ind w:left="284" w:right="0" w:hanging="284"/>
        <w:textAlignment w:val="baseline"/>
        <w:rPr>
          <w:rFonts w:ascii="Arial" w:eastAsia="MS Mincho" w:hAnsi="Arial" w:cs="Arial"/>
          <w:bCs w:val="0"/>
          <w:color w:val="auto"/>
          <w:szCs w:val="24"/>
          <w:lang w:eastAsia="en-ZA"/>
        </w:rPr>
      </w:pPr>
      <w:bookmarkStart w:id="66" w:name="_Toc466031774"/>
      <w:bookmarkStart w:id="67" w:name="_Toc466031915"/>
      <w:bookmarkStart w:id="68" w:name="_Toc466032387"/>
    </w:p>
    <w:p w:rsidR="00160775" w:rsidRPr="00B56ED8" w:rsidRDefault="0039363A" w:rsidP="00B56ED8">
      <w:pPr>
        <w:pStyle w:val="Heading2"/>
        <w:keepNext w:val="0"/>
        <w:keepLines w:val="0"/>
        <w:suppressAutoHyphens/>
        <w:autoSpaceDN w:val="0"/>
        <w:spacing w:before="240" w:after="240"/>
        <w:ind w:left="284" w:right="0" w:hanging="284"/>
        <w:textAlignment w:val="baseline"/>
        <w:rPr>
          <w:rFonts w:ascii="Arial" w:eastAsia="MS Mincho" w:hAnsi="Arial" w:cs="Arial"/>
          <w:bCs w:val="0"/>
          <w:color w:val="auto"/>
          <w:szCs w:val="24"/>
          <w:lang w:eastAsia="en-ZA"/>
        </w:rPr>
      </w:pPr>
      <w:r>
        <w:rPr>
          <w:rFonts w:ascii="Arial" w:eastAsia="MS Mincho" w:hAnsi="Arial" w:cs="Arial"/>
          <w:bCs w:val="0"/>
          <w:color w:val="auto"/>
          <w:szCs w:val="24"/>
          <w:lang w:eastAsia="en-ZA"/>
        </w:rPr>
        <w:t>S</w:t>
      </w:r>
      <w:r w:rsidR="00CD0515" w:rsidRPr="00B56ED8">
        <w:rPr>
          <w:rFonts w:ascii="Arial" w:eastAsia="MS Mincho" w:hAnsi="Arial" w:cs="Arial"/>
          <w:bCs w:val="0"/>
          <w:color w:val="auto"/>
          <w:szCs w:val="24"/>
          <w:lang w:eastAsia="en-ZA"/>
        </w:rPr>
        <w:t>OURCES OF REFERENCE</w:t>
      </w:r>
      <w:r w:rsidR="00B829C0" w:rsidRPr="00B56ED8">
        <w:rPr>
          <w:rFonts w:ascii="Arial" w:eastAsia="MS Mincho" w:hAnsi="Arial" w:cs="Arial"/>
          <w:bCs w:val="0"/>
          <w:color w:val="auto"/>
          <w:szCs w:val="24"/>
          <w:lang w:eastAsia="en-ZA"/>
        </w:rPr>
        <w:t>:</w:t>
      </w:r>
      <w:bookmarkEnd w:id="66"/>
      <w:bookmarkEnd w:id="67"/>
      <w:bookmarkEnd w:id="68"/>
    </w:p>
    <w:p w:rsidR="00160775" w:rsidRDefault="0061430A" w:rsidP="00B13D45">
      <w:pPr>
        <w:jc w:val="both"/>
      </w:pPr>
      <w:r>
        <w:t xml:space="preserve">IT Compliance Institute </w:t>
      </w:r>
    </w:p>
    <w:p w:rsidR="00160775" w:rsidRDefault="0061430A" w:rsidP="00B13D45">
      <w:pPr>
        <w:jc w:val="both"/>
      </w:pPr>
      <w:r>
        <w:t>National Treasury Internal Audit Framework</w:t>
      </w:r>
    </w:p>
    <w:p w:rsidR="00160775" w:rsidRDefault="0061430A" w:rsidP="00B13D45">
      <w:pPr>
        <w:jc w:val="both"/>
      </w:pPr>
      <w:r>
        <w:t>The Institute of Internal Auditors</w:t>
      </w:r>
    </w:p>
    <w:p w:rsidR="00BC7E9F" w:rsidRDefault="00BC7E9F" w:rsidP="00B13D45">
      <w:pPr>
        <w:jc w:val="both"/>
      </w:pPr>
      <w:r>
        <w:t>City of Cape Town Internal Audit Department</w:t>
      </w:r>
    </w:p>
    <w:p w:rsidR="00BC7E9F" w:rsidRDefault="00BC7E9F" w:rsidP="00B13D45">
      <w:pPr>
        <w:jc w:val="both"/>
      </w:pPr>
      <w:r>
        <w:t>Ernst and Young Internal Audit Department</w:t>
      </w:r>
    </w:p>
    <w:p w:rsidR="00BC7E9F" w:rsidRDefault="000A3DDB" w:rsidP="00B13D45">
      <w:pPr>
        <w:numPr>
          <w:ilvl w:val="0"/>
          <w:numId w:val="0"/>
        </w:numPr>
        <w:ind w:left="794"/>
        <w:jc w:val="both"/>
      </w:pPr>
      <w:r>
        <w:t xml:space="preserve"> </w:t>
      </w:r>
    </w:p>
    <w:p w:rsidR="00160775" w:rsidRPr="007E067D" w:rsidRDefault="0061430A" w:rsidP="00B13D45">
      <w:pPr>
        <w:jc w:val="both"/>
        <w:rPr>
          <w:rFonts w:ascii="Century Gothic" w:eastAsia="Times New Roman" w:hAnsi="Century Gothic" w:cs="Times New Roman"/>
          <w:color w:val="00B0F0"/>
          <w:sz w:val="30"/>
          <w:szCs w:val="30"/>
          <w:lang w:eastAsia="en-ZA"/>
        </w:rPr>
      </w:pPr>
      <w:r>
        <w:rPr>
          <w:lang w:eastAsia="en-ZA"/>
        </w:rPr>
        <w:br w:type="page"/>
      </w:r>
      <w:bookmarkStart w:id="69" w:name="_GoBack"/>
      <w:bookmarkEnd w:id="69"/>
    </w:p>
    <w:p w:rsidR="00160775" w:rsidRPr="00B56ED8" w:rsidRDefault="00FD0B06" w:rsidP="00B56ED8">
      <w:pPr>
        <w:pStyle w:val="Heading2"/>
        <w:keepNext w:val="0"/>
        <w:keepLines w:val="0"/>
        <w:suppressAutoHyphens/>
        <w:autoSpaceDN w:val="0"/>
        <w:spacing w:before="240" w:after="240"/>
        <w:ind w:left="284" w:right="0" w:hanging="284"/>
        <w:textAlignment w:val="baseline"/>
        <w:rPr>
          <w:rFonts w:ascii="Arial" w:eastAsia="MS Mincho" w:hAnsi="Arial" w:cs="Arial"/>
          <w:bCs w:val="0"/>
          <w:color w:val="auto"/>
          <w:szCs w:val="24"/>
          <w:lang w:eastAsia="en-ZA"/>
        </w:rPr>
      </w:pPr>
      <w:bookmarkStart w:id="70" w:name="_Toc466031775"/>
      <w:bookmarkStart w:id="71" w:name="_Toc466031916"/>
      <w:bookmarkStart w:id="72" w:name="_Toc466032388"/>
      <w:r w:rsidRPr="00B56ED8">
        <w:rPr>
          <w:rFonts w:ascii="Arial" w:eastAsia="MS Mincho" w:hAnsi="Arial" w:cs="Arial"/>
          <w:bCs w:val="0"/>
          <w:color w:val="auto"/>
          <w:szCs w:val="24"/>
          <w:lang w:eastAsia="en-ZA"/>
        </w:rPr>
        <w:t>ANNEXURE A:  SPECIFIC CONSIDERATION FOR THE ATTENTION OF THE INTERNAL AUDITOR IN PLANNING AUDIT ACTIVITIES</w:t>
      </w:r>
      <w:bookmarkEnd w:id="70"/>
      <w:bookmarkEnd w:id="71"/>
      <w:bookmarkEnd w:id="72"/>
    </w:p>
    <w:p w:rsidR="00160775" w:rsidRDefault="0061430A" w:rsidP="00B13D45">
      <w:pPr>
        <w:jc w:val="both"/>
        <w:rPr>
          <w:lang w:eastAsia="en-ZA"/>
        </w:rPr>
      </w:pPr>
      <w:r>
        <w:rPr>
          <w:lang w:eastAsia="en-ZA"/>
        </w:rPr>
        <w:t>The table presented hereunder provide some consideration for the internal auditor in assessing the municipality’s preparation for mSCOA implementation and the underlying system conversion.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1"/>
        <w:gridCol w:w="4480"/>
        <w:gridCol w:w="2765"/>
      </w:tblGrid>
      <w:tr w:rsidR="000130E6" w:rsidRPr="007E067D" w:rsidTr="00B56ED8">
        <w:trPr>
          <w:tblHeader/>
        </w:trPr>
        <w:tc>
          <w:tcPr>
            <w:tcW w:w="0" w:type="auto"/>
            <w:shd w:val="clear" w:color="auto" w:fill="C00000"/>
          </w:tcPr>
          <w:p w:rsidR="00E45CBA" w:rsidRPr="007E067D" w:rsidRDefault="000A3DDB" w:rsidP="007E067D">
            <w:pPr>
              <w:numPr>
                <w:ilvl w:val="0"/>
                <w:numId w:val="0"/>
              </w:numPr>
              <w:tabs>
                <w:tab w:val="left" w:pos="761"/>
              </w:tabs>
              <w:spacing w:before="100" w:beforeAutospacing="1" w:after="100" w:afterAutospacing="1"/>
              <w:ind w:left="142"/>
              <w:jc w:val="both"/>
              <w:rPr>
                <w:b/>
                <w:color w:val="FFFFFF"/>
              </w:rPr>
            </w:pPr>
            <w:r w:rsidRPr="007E067D">
              <w:rPr>
                <w:b/>
                <w:color w:val="FFFFFF"/>
              </w:rPr>
              <w:tab/>
            </w:r>
          </w:p>
        </w:tc>
        <w:tc>
          <w:tcPr>
            <w:tcW w:w="0" w:type="auto"/>
            <w:shd w:val="clear" w:color="auto" w:fill="C00000"/>
          </w:tcPr>
          <w:p w:rsidR="00E45CBA" w:rsidRPr="007E067D" w:rsidRDefault="00561286" w:rsidP="007E067D">
            <w:pPr>
              <w:numPr>
                <w:ilvl w:val="0"/>
                <w:numId w:val="0"/>
              </w:numPr>
              <w:spacing w:before="100" w:beforeAutospacing="1" w:after="100" w:afterAutospacing="1"/>
              <w:ind w:left="142"/>
              <w:jc w:val="both"/>
              <w:rPr>
                <w:b/>
                <w:color w:val="FFFFFF"/>
              </w:rPr>
            </w:pPr>
            <w:r w:rsidRPr="007E067D">
              <w:rPr>
                <w:b/>
                <w:color w:val="FFFFFF"/>
              </w:rPr>
              <w:t xml:space="preserve">CONSIDERATION </w:t>
            </w:r>
          </w:p>
        </w:tc>
        <w:tc>
          <w:tcPr>
            <w:tcW w:w="0" w:type="auto"/>
            <w:shd w:val="clear" w:color="auto" w:fill="C00000"/>
          </w:tcPr>
          <w:p w:rsidR="00E45CBA" w:rsidRPr="007E067D" w:rsidRDefault="00561286" w:rsidP="007E067D">
            <w:pPr>
              <w:numPr>
                <w:ilvl w:val="0"/>
                <w:numId w:val="0"/>
              </w:numPr>
              <w:spacing w:before="100" w:beforeAutospacing="1" w:after="100" w:afterAutospacing="1"/>
              <w:ind w:left="142"/>
              <w:jc w:val="both"/>
              <w:rPr>
                <w:b/>
                <w:color w:val="FFFFFF"/>
              </w:rPr>
            </w:pPr>
            <w:r w:rsidRPr="007E067D">
              <w:rPr>
                <w:b/>
                <w:color w:val="FFFFFF"/>
              </w:rPr>
              <w:t>CLASSIFICATION</w:t>
            </w:r>
          </w:p>
        </w:tc>
      </w:tr>
      <w:tr w:rsidR="000130E6" w:rsidRPr="007E067D" w:rsidTr="00E92612">
        <w:tc>
          <w:tcPr>
            <w:tcW w:w="0" w:type="auto"/>
            <w:shd w:val="clear" w:color="auto" w:fill="FFCCCC"/>
          </w:tcPr>
          <w:p w:rsidR="00E45CBA" w:rsidRPr="007E067D" w:rsidRDefault="00561286" w:rsidP="007E067D">
            <w:pPr>
              <w:numPr>
                <w:ilvl w:val="0"/>
                <w:numId w:val="0"/>
              </w:numPr>
              <w:spacing w:before="100" w:beforeAutospacing="1" w:after="100" w:afterAutospacing="1"/>
              <w:ind w:left="142"/>
              <w:jc w:val="both"/>
              <w:rPr>
                <w:b/>
              </w:rPr>
            </w:pPr>
            <w:r w:rsidRPr="007E067D">
              <w:rPr>
                <w:b/>
              </w:rPr>
              <w:t>A.</w:t>
            </w:r>
          </w:p>
        </w:tc>
        <w:tc>
          <w:tcPr>
            <w:tcW w:w="0" w:type="auto"/>
            <w:gridSpan w:val="2"/>
            <w:shd w:val="clear" w:color="auto" w:fill="FFCCCC"/>
          </w:tcPr>
          <w:p w:rsidR="00E45CBA" w:rsidRPr="007E067D" w:rsidRDefault="00561286" w:rsidP="007E067D">
            <w:pPr>
              <w:numPr>
                <w:ilvl w:val="0"/>
                <w:numId w:val="0"/>
              </w:numPr>
              <w:spacing w:before="100" w:beforeAutospacing="1" w:after="100" w:afterAutospacing="1"/>
              <w:ind w:left="142"/>
              <w:jc w:val="both"/>
              <w:rPr>
                <w:b/>
              </w:rPr>
            </w:pPr>
            <w:r w:rsidRPr="007E067D">
              <w:rPr>
                <w:b/>
              </w:rPr>
              <w:t>Strategic and Political Awareness and Responsibility</w:t>
            </w:r>
          </w:p>
        </w:tc>
      </w:tr>
      <w:tr w:rsidR="000A3DDB" w:rsidRPr="007E067D" w:rsidTr="007E067D">
        <w:tc>
          <w:tcPr>
            <w:tcW w:w="0" w:type="auto"/>
            <w:shd w:val="clear" w:color="auto" w:fill="auto"/>
          </w:tcPr>
          <w:p w:rsidR="00E45CBA" w:rsidRPr="007E067D" w:rsidRDefault="00E45CBA" w:rsidP="007E067D">
            <w:pPr>
              <w:pStyle w:val="ListParagraph"/>
              <w:numPr>
                <w:ilvl w:val="0"/>
                <w:numId w:val="1"/>
              </w:numPr>
              <w:spacing w:before="100" w:beforeAutospacing="1" w:after="100" w:afterAutospacing="1"/>
              <w:jc w:val="both"/>
            </w:pPr>
          </w:p>
        </w:tc>
        <w:tc>
          <w:tcPr>
            <w:tcW w:w="0" w:type="auto"/>
            <w:shd w:val="clear" w:color="auto" w:fill="auto"/>
          </w:tcPr>
          <w:p w:rsidR="00E45CBA" w:rsidRPr="007E067D" w:rsidRDefault="00561286" w:rsidP="007E067D">
            <w:pPr>
              <w:numPr>
                <w:ilvl w:val="0"/>
                <w:numId w:val="0"/>
              </w:numPr>
              <w:spacing w:before="100" w:beforeAutospacing="1" w:after="100" w:afterAutospacing="1"/>
              <w:ind w:left="142"/>
              <w:jc w:val="both"/>
            </w:pPr>
            <w:r w:rsidRPr="007E067D">
              <w:t xml:space="preserve">Council briefed on mSCOA concepts. Regular update on progress made </w:t>
            </w:r>
            <w:r w:rsidR="00B71E34" w:rsidRPr="007E067D">
              <w:t>up</w:t>
            </w:r>
            <w:r w:rsidRPr="007E067D">
              <w:t>on implementation, challenges and risk response.</w:t>
            </w:r>
          </w:p>
        </w:tc>
        <w:tc>
          <w:tcPr>
            <w:tcW w:w="0" w:type="auto"/>
            <w:shd w:val="clear" w:color="auto" w:fill="auto"/>
          </w:tcPr>
          <w:p w:rsidR="00E45CBA" w:rsidRPr="007E067D" w:rsidRDefault="00561286" w:rsidP="007E067D">
            <w:pPr>
              <w:numPr>
                <w:ilvl w:val="0"/>
                <w:numId w:val="0"/>
              </w:numPr>
              <w:spacing w:before="100" w:beforeAutospacing="1" w:after="100" w:afterAutospacing="1"/>
              <w:ind w:left="142"/>
              <w:jc w:val="both"/>
            </w:pPr>
            <w:r w:rsidRPr="007E067D">
              <w:t>Political awareness</w:t>
            </w:r>
          </w:p>
        </w:tc>
      </w:tr>
      <w:tr w:rsidR="000A3DDB" w:rsidRPr="007E067D" w:rsidTr="007E067D">
        <w:tc>
          <w:tcPr>
            <w:tcW w:w="0" w:type="auto"/>
            <w:shd w:val="clear" w:color="auto" w:fill="auto"/>
          </w:tcPr>
          <w:p w:rsidR="00E45CBA" w:rsidRPr="007E067D" w:rsidRDefault="00E45CBA" w:rsidP="007E067D">
            <w:pPr>
              <w:pStyle w:val="ListParagraph"/>
              <w:numPr>
                <w:ilvl w:val="0"/>
                <w:numId w:val="1"/>
              </w:numPr>
              <w:spacing w:before="100" w:beforeAutospacing="1" w:after="100" w:afterAutospacing="1"/>
              <w:jc w:val="both"/>
            </w:pPr>
          </w:p>
        </w:tc>
        <w:tc>
          <w:tcPr>
            <w:tcW w:w="0" w:type="auto"/>
            <w:shd w:val="clear" w:color="auto" w:fill="auto"/>
          </w:tcPr>
          <w:p w:rsidR="00E45CBA" w:rsidRPr="007E067D" w:rsidRDefault="00561286" w:rsidP="007E067D">
            <w:pPr>
              <w:numPr>
                <w:ilvl w:val="0"/>
                <w:numId w:val="0"/>
              </w:numPr>
              <w:spacing w:before="100" w:beforeAutospacing="1" w:after="100" w:afterAutospacing="1"/>
              <w:ind w:left="142"/>
              <w:jc w:val="both"/>
            </w:pPr>
            <w:proofErr w:type="gramStart"/>
            <w:r w:rsidRPr="007E067D">
              <w:t>mSCOA</w:t>
            </w:r>
            <w:proofErr w:type="gramEnd"/>
            <w:r w:rsidRPr="007E067D">
              <w:t xml:space="preserve"> Implementation and system </w:t>
            </w:r>
            <w:r w:rsidR="0021784D" w:rsidRPr="007E067D">
              <w:t xml:space="preserve">conversion </w:t>
            </w:r>
            <w:r w:rsidRPr="007E067D">
              <w:t xml:space="preserve">accepted as a strategic objective and defined as such in the municipality strategic and business plan.  </w:t>
            </w:r>
          </w:p>
        </w:tc>
        <w:tc>
          <w:tcPr>
            <w:tcW w:w="0" w:type="auto"/>
            <w:shd w:val="clear" w:color="auto" w:fill="auto"/>
          </w:tcPr>
          <w:p w:rsidR="00E45CBA" w:rsidRPr="007E067D" w:rsidRDefault="00561286" w:rsidP="007E067D">
            <w:pPr>
              <w:numPr>
                <w:ilvl w:val="0"/>
                <w:numId w:val="0"/>
              </w:numPr>
              <w:spacing w:before="100" w:beforeAutospacing="1" w:after="100" w:afterAutospacing="1"/>
              <w:ind w:left="142"/>
              <w:jc w:val="both"/>
            </w:pPr>
            <w:r w:rsidRPr="007E067D">
              <w:t>Strategic recognition and project support</w:t>
            </w:r>
          </w:p>
        </w:tc>
      </w:tr>
      <w:tr w:rsidR="000A3DDB" w:rsidRPr="007E067D" w:rsidTr="007E067D">
        <w:tc>
          <w:tcPr>
            <w:tcW w:w="0" w:type="auto"/>
            <w:shd w:val="clear" w:color="auto" w:fill="auto"/>
          </w:tcPr>
          <w:p w:rsidR="00E45CBA" w:rsidRPr="007E067D" w:rsidRDefault="00E45CBA" w:rsidP="007E067D">
            <w:pPr>
              <w:pStyle w:val="ListParagraph"/>
              <w:numPr>
                <w:ilvl w:val="0"/>
                <w:numId w:val="1"/>
              </w:numPr>
              <w:spacing w:before="100" w:beforeAutospacing="1" w:after="100" w:afterAutospacing="1"/>
              <w:jc w:val="both"/>
            </w:pPr>
          </w:p>
        </w:tc>
        <w:tc>
          <w:tcPr>
            <w:tcW w:w="0" w:type="auto"/>
            <w:shd w:val="clear" w:color="auto" w:fill="auto"/>
          </w:tcPr>
          <w:p w:rsidR="00E45CBA" w:rsidRPr="007E067D" w:rsidRDefault="00561286" w:rsidP="007E067D">
            <w:pPr>
              <w:numPr>
                <w:ilvl w:val="0"/>
                <w:numId w:val="0"/>
              </w:numPr>
              <w:spacing w:before="100" w:beforeAutospacing="1" w:after="100" w:afterAutospacing="1"/>
              <w:ind w:left="142"/>
              <w:jc w:val="both"/>
            </w:pPr>
            <w:r w:rsidRPr="007E067D">
              <w:t xml:space="preserve">Project assigned to </w:t>
            </w:r>
            <w:r w:rsidR="00551F04" w:rsidRPr="007E067D">
              <w:t xml:space="preserve">a </w:t>
            </w:r>
            <w:r w:rsidRPr="007E067D">
              <w:t xml:space="preserve">senior manager to oversee, manage and define project activities.  </w:t>
            </w:r>
            <w:r w:rsidR="00BC7E9F" w:rsidRPr="007E067D">
              <w:t xml:space="preserve"> Specific consideration to be given to the team composition </w:t>
            </w:r>
            <w:r w:rsidR="00641FE5" w:rsidRPr="007E067D">
              <w:t xml:space="preserve">verifying that the </w:t>
            </w:r>
            <w:r w:rsidR="00320274" w:rsidRPr="007E067D">
              <w:t>‘</w:t>
            </w:r>
            <w:r w:rsidR="00641FE5" w:rsidRPr="007E067D">
              <w:t>people</w:t>
            </w:r>
            <w:r w:rsidR="00320274" w:rsidRPr="007E067D">
              <w:t>’</w:t>
            </w:r>
            <w:r w:rsidR="00641FE5" w:rsidRPr="007E067D">
              <w:t xml:space="preserve"> part of the implementation is covered in the project plan especially change management and training, review of job profiles and where necessary job titles.  </w:t>
            </w:r>
          </w:p>
        </w:tc>
        <w:tc>
          <w:tcPr>
            <w:tcW w:w="0" w:type="auto"/>
            <w:shd w:val="clear" w:color="auto" w:fill="auto"/>
          </w:tcPr>
          <w:p w:rsidR="00E45CBA" w:rsidRPr="007E067D" w:rsidRDefault="00561286" w:rsidP="007E067D">
            <w:pPr>
              <w:numPr>
                <w:ilvl w:val="0"/>
                <w:numId w:val="0"/>
              </w:numPr>
              <w:spacing w:before="100" w:beforeAutospacing="1" w:after="100" w:afterAutospacing="1"/>
              <w:ind w:left="142"/>
              <w:jc w:val="both"/>
            </w:pPr>
            <w:r w:rsidRPr="007E067D">
              <w:t>Strategic recognition and project support</w:t>
            </w:r>
          </w:p>
        </w:tc>
      </w:tr>
      <w:tr w:rsidR="000A3DDB" w:rsidRPr="007E067D" w:rsidTr="007E067D">
        <w:tc>
          <w:tcPr>
            <w:tcW w:w="0" w:type="auto"/>
            <w:shd w:val="clear" w:color="auto" w:fill="auto"/>
          </w:tcPr>
          <w:p w:rsidR="00E45CBA" w:rsidRPr="007E067D" w:rsidRDefault="00E45CBA" w:rsidP="007E067D">
            <w:pPr>
              <w:pStyle w:val="ListParagraph"/>
              <w:numPr>
                <w:ilvl w:val="0"/>
                <w:numId w:val="1"/>
              </w:numPr>
              <w:spacing w:before="100" w:beforeAutospacing="1" w:after="100" w:afterAutospacing="1"/>
              <w:jc w:val="both"/>
            </w:pPr>
          </w:p>
        </w:tc>
        <w:tc>
          <w:tcPr>
            <w:tcW w:w="0" w:type="auto"/>
            <w:shd w:val="clear" w:color="auto" w:fill="auto"/>
          </w:tcPr>
          <w:p w:rsidR="00E45CBA" w:rsidRPr="007E067D" w:rsidRDefault="00561286" w:rsidP="007E067D">
            <w:pPr>
              <w:numPr>
                <w:ilvl w:val="0"/>
                <w:numId w:val="0"/>
              </w:numPr>
              <w:spacing w:before="100" w:beforeAutospacing="1" w:after="100" w:afterAutospacing="1"/>
              <w:ind w:left="142"/>
              <w:jc w:val="both"/>
            </w:pPr>
            <w:proofErr w:type="gramStart"/>
            <w:r w:rsidRPr="007E067D">
              <w:t>mSCOA</w:t>
            </w:r>
            <w:proofErr w:type="gramEnd"/>
            <w:r w:rsidRPr="007E067D">
              <w:t xml:space="preserve"> outcomes defined as an “organisational key performance area” and supported by </w:t>
            </w:r>
            <w:r w:rsidR="00311E6F" w:rsidRPr="007E067D">
              <w:t xml:space="preserve">a </w:t>
            </w:r>
            <w:r w:rsidRPr="007E067D">
              <w:t xml:space="preserve">senior manager and staff personalised performance agreements.  </w:t>
            </w:r>
          </w:p>
        </w:tc>
        <w:tc>
          <w:tcPr>
            <w:tcW w:w="0" w:type="auto"/>
            <w:shd w:val="clear" w:color="auto" w:fill="auto"/>
          </w:tcPr>
          <w:p w:rsidR="00E45CBA" w:rsidRPr="007E067D" w:rsidRDefault="00561286" w:rsidP="007E067D">
            <w:pPr>
              <w:numPr>
                <w:ilvl w:val="0"/>
                <w:numId w:val="0"/>
              </w:numPr>
              <w:spacing w:before="100" w:beforeAutospacing="1" w:after="100" w:afterAutospacing="1"/>
              <w:ind w:left="142"/>
              <w:jc w:val="both"/>
            </w:pPr>
            <w:r w:rsidRPr="007E067D">
              <w:t>Strategic recognition and project support</w:t>
            </w:r>
          </w:p>
        </w:tc>
      </w:tr>
      <w:tr w:rsidR="000A3DDB" w:rsidRPr="007E067D" w:rsidTr="007E067D">
        <w:tc>
          <w:tcPr>
            <w:tcW w:w="0" w:type="auto"/>
            <w:shd w:val="clear" w:color="auto" w:fill="auto"/>
          </w:tcPr>
          <w:p w:rsidR="00E45CBA" w:rsidRPr="007E067D" w:rsidRDefault="00E45CBA" w:rsidP="007E067D">
            <w:pPr>
              <w:pStyle w:val="ListParagraph"/>
              <w:numPr>
                <w:ilvl w:val="0"/>
                <w:numId w:val="1"/>
              </w:numPr>
              <w:spacing w:before="100" w:beforeAutospacing="1" w:after="100" w:afterAutospacing="1"/>
              <w:jc w:val="both"/>
            </w:pPr>
          </w:p>
        </w:tc>
        <w:tc>
          <w:tcPr>
            <w:tcW w:w="0" w:type="auto"/>
            <w:shd w:val="clear" w:color="auto" w:fill="auto"/>
          </w:tcPr>
          <w:p w:rsidR="00E45CBA" w:rsidRPr="007E067D" w:rsidRDefault="00561286" w:rsidP="007E067D">
            <w:pPr>
              <w:numPr>
                <w:ilvl w:val="0"/>
                <w:numId w:val="0"/>
              </w:numPr>
              <w:spacing w:before="100" w:beforeAutospacing="1" w:after="100" w:afterAutospacing="1"/>
              <w:ind w:left="142"/>
              <w:jc w:val="both"/>
            </w:pPr>
            <w:r w:rsidRPr="007E067D">
              <w:t>Organisational and business risk assessed and managed through the formalised risk management process of the municipality.</w:t>
            </w:r>
          </w:p>
        </w:tc>
        <w:tc>
          <w:tcPr>
            <w:tcW w:w="0" w:type="auto"/>
            <w:shd w:val="clear" w:color="auto" w:fill="auto"/>
          </w:tcPr>
          <w:p w:rsidR="00E45CBA" w:rsidRPr="007E067D" w:rsidRDefault="00561286" w:rsidP="007E067D">
            <w:pPr>
              <w:numPr>
                <w:ilvl w:val="0"/>
                <w:numId w:val="0"/>
              </w:numPr>
              <w:spacing w:before="100" w:beforeAutospacing="1" w:after="100" w:afterAutospacing="1"/>
              <w:ind w:left="142"/>
              <w:jc w:val="both"/>
            </w:pPr>
            <w:r w:rsidRPr="007E067D">
              <w:t>Risk Committee/Risk Management Activities</w:t>
            </w:r>
          </w:p>
        </w:tc>
      </w:tr>
      <w:tr w:rsidR="000A3DDB" w:rsidRPr="007E067D" w:rsidTr="007E067D">
        <w:tc>
          <w:tcPr>
            <w:tcW w:w="0" w:type="auto"/>
            <w:shd w:val="clear" w:color="auto" w:fill="auto"/>
          </w:tcPr>
          <w:p w:rsidR="00E45CBA" w:rsidRPr="007E067D" w:rsidRDefault="00E45CBA" w:rsidP="007E067D">
            <w:pPr>
              <w:pStyle w:val="ListParagraph"/>
              <w:numPr>
                <w:ilvl w:val="0"/>
                <w:numId w:val="1"/>
              </w:numPr>
              <w:spacing w:before="100" w:beforeAutospacing="1" w:after="100" w:afterAutospacing="1"/>
              <w:jc w:val="both"/>
            </w:pPr>
          </w:p>
        </w:tc>
        <w:tc>
          <w:tcPr>
            <w:tcW w:w="0" w:type="auto"/>
            <w:shd w:val="clear" w:color="auto" w:fill="auto"/>
          </w:tcPr>
          <w:p w:rsidR="00E45CBA" w:rsidRPr="007E067D" w:rsidRDefault="00561286" w:rsidP="007E067D">
            <w:pPr>
              <w:numPr>
                <w:ilvl w:val="0"/>
                <w:numId w:val="0"/>
              </w:numPr>
              <w:spacing w:before="100" w:beforeAutospacing="1" w:after="100" w:afterAutospacing="1"/>
              <w:ind w:left="142"/>
              <w:jc w:val="both"/>
            </w:pPr>
            <w:r w:rsidRPr="007E067D">
              <w:t xml:space="preserve">Project manager </w:t>
            </w:r>
            <w:r w:rsidR="009829BB" w:rsidRPr="007E067D">
              <w:t xml:space="preserve">overseeing </w:t>
            </w:r>
            <w:r w:rsidRPr="007E067D">
              <w:t xml:space="preserve">the preparation of a comprehensive project plan, defined milestones and adequate resource allocation.  Some critical matters to </w:t>
            </w:r>
            <w:r w:rsidR="00BC0E9C" w:rsidRPr="007E067D">
              <w:t xml:space="preserve">be </w:t>
            </w:r>
            <w:r w:rsidRPr="007E067D">
              <w:t>consider</w:t>
            </w:r>
            <w:r w:rsidR="00BC0E9C" w:rsidRPr="007E067D">
              <w:t>ed</w:t>
            </w:r>
            <w:r w:rsidRPr="007E067D">
              <w:t xml:space="preserve"> and</w:t>
            </w:r>
            <w:r w:rsidR="00311E6F" w:rsidRPr="007E067D">
              <w:t xml:space="preserve">  </w:t>
            </w:r>
            <w:r w:rsidRPr="007E067D">
              <w:t xml:space="preserve">managed through the project plan:  </w:t>
            </w:r>
          </w:p>
          <w:p w:rsidR="00E45CBA" w:rsidRPr="007E067D" w:rsidRDefault="00561286" w:rsidP="007E067D">
            <w:pPr>
              <w:pStyle w:val="ListParagraph"/>
              <w:numPr>
                <w:ilvl w:val="0"/>
                <w:numId w:val="2"/>
              </w:numPr>
              <w:spacing w:before="100" w:beforeAutospacing="1" w:after="100" w:afterAutospacing="1"/>
              <w:jc w:val="both"/>
            </w:pPr>
            <w:r w:rsidRPr="007E067D">
              <w:t>Sufficient detail to define impact on the whole of the municipality.</w:t>
            </w:r>
          </w:p>
          <w:p w:rsidR="00E45CBA" w:rsidRPr="007E067D" w:rsidRDefault="00561286" w:rsidP="007E067D">
            <w:pPr>
              <w:pStyle w:val="ListParagraph"/>
              <w:numPr>
                <w:ilvl w:val="0"/>
                <w:numId w:val="2"/>
              </w:numPr>
              <w:spacing w:before="100" w:beforeAutospacing="1" w:after="100" w:afterAutospacing="1"/>
              <w:jc w:val="both"/>
            </w:pPr>
            <w:r w:rsidRPr="007E067D">
              <w:t>Implementation requirements defined by consulting all business areas and levels of staff.</w:t>
            </w:r>
          </w:p>
          <w:p w:rsidR="00E45CBA" w:rsidRPr="007E067D" w:rsidRDefault="00561286" w:rsidP="007E067D">
            <w:pPr>
              <w:pStyle w:val="ListParagraph"/>
              <w:numPr>
                <w:ilvl w:val="0"/>
                <w:numId w:val="2"/>
              </w:numPr>
              <w:spacing w:before="100" w:beforeAutospacing="1" w:after="100" w:afterAutospacing="1"/>
              <w:jc w:val="both"/>
            </w:pPr>
            <w:r w:rsidRPr="007E067D">
              <w:t>Adequate sharing of information.</w:t>
            </w:r>
          </w:p>
          <w:p w:rsidR="00E45CBA" w:rsidRPr="007E067D" w:rsidRDefault="00561286" w:rsidP="007E067D">
            <w:pPr>
              <w:pStyle w:val="ListParagraph"/>
              <w:numPr>
                <w:ilvl w:val="0"/>
                <w:numId w:val="2"/>
              </w:numPr>
              <w:spacing w:before="100" w:beforeAutospacing="1" w:after="100" w:afterAutospacing="1"/>
              <w:jc w:val="both"/>
            </w:pPr>
            <w:r w:rsidRPr="007E067D">
              <w:t>Define and address impact on business processes.</w:t>
            </w:r>
          </w:p>
          <w:p w:rsidR="00E45CBA" w:rsidRPr="007E067D" w:rsidRDefault="00561286" w:rsidP="007E067D">
            <w:pPr>
              <w:pStyle w:val="ListParagraph"/>
              <w:numPr>
                <w:ilvl w:val="0"/>
                <w:numId w:val="2"/>
              </w:numPr>
              <w:spacing w:before="100" w:beforeAutospacing="1" w:after="100" w:afterAutospacing="1"/>
              <w:jc w:val="both"/>
            </w:pPr>
            <w:r w:rsidRPr="007E067D">
              <w:t>Time allocation for activities.</w:t>
            </w:r>
          </w:p>
          <w:p w:rsidR="00E45CBA" w:rsidRPr="007E067D" w:rsidRDefault="00561286" w:rsidP="007E067D">
            <w:pPr>
              <w:pStyle w:val="ListParagraph"/>
              <w:numPr>
                <w:ilvl w:val="0"/>
                <w:numId w:val="2"/>
              </w:numPr>
              <w:spacing w:before="100" w:beforeAutospacing="1" w:after="100" w:afterAutospacing="1"/>
              <w:jc w:val="both"/>
            </w:pPr>
            <w:r w:rsidRPr="007E067D">
              <w:t>Response to delays.</w:t>
            </w:r>
          </w:p>
          <w:p w:rsidR="00E45CBA" w:rsidRPr="007E067D" w:rsidRDefault="00561286" w:rsidP="007E067D">
            <w:pPr>
              <w:pStyle w:val="ListParagraph"/>
              <w:numPr>
                <w:ilvl w:val="0"/>
                <w:numId w:val="2"/>
              </w:numPr>
              <w:spacing w:before="100" w:beforeAutospacing="1" w:after="100" w:afterAutospacing="1"/>
              <w:jc w:val="both"/>
            </w:pPr>
            <w:r w:rsidRPr="007E067D">
              <w:t>Request for assistance and technical support.</w:t>
            </w:r>
          </w:p>
          <w:p w:rsidR="00E45CBA" w:rsidRPr="007E067D" w:rsidRDefault="00561286" w:rsidP="007E067D">
            <w:pPr>
              <w:pStyle w:val="ListParagraph"/>
              <w:numPr>
                <w:ilvl w:val="0"/>
                <w:numId w:val="2"/>
              </w:numPr>
              <w:spacing w:before="100" w:beforeAutospacing="1" w:after="100" w:afterAutospacing="1"/>
              <w:jc w:val="both"/>
            </w:pPr>
            <w:r w:rsidRPr="007E067D">
              <w:t>Resource allocation.</w:t>
            </w:r>
          </w:p>
        </w:tc>
        <w:tc>
          <w:tcPr>
            <w:tcW w:w="0" w:type="auto"/>
            <w:shd w:val="clear" w:color="auto" w:fill="auto"/>
          </w:tcPr>
          <w:p w:rsidR="00E45CBA" w:rsidRPr="007E067D" w:rsidRDefault="00561286" w:rsidP="007E067D">
            <w:pPr>
              <w:numPr>
                <w:ilvl w:val="0"/>
                <w:numId w:val="0"/>
              </w:numPr>
              <w:spacing w:before="100" w:beforeAutospacing="1" w:after="100" w:afterAutospacing="1"/>
              <w:ind w:left="142"/>
              <w:jc w:val="both"/>
            </w:pPr>
            <w:r w:rsidRPr="007E067D">
              <w:t>Project Management and Oversight</w:t>
            </w:r>
          </w:p>
        </w:tc>
      </w:tr>
      <w:tr w:rsidR="000A3DDB" w:rsidRPr="007E067D" w:rsidTr="007E067D">
        <w:tc>
          <w:tcPr>
            <w:tcW w:w="0" w:type="auto"/>
            <w:shd w:val="clear" w:color="auto" w:fill="auto"/>
          </w:tcPr>
          <w:p w:rsidR="00E45CBA" w:rsidRPr="007E067D" w:rsidRDefault="00E45CBA" w:rsidP="007E067D">
            <w:pPr>
              <w:pStyle w:val="ListParagraph"/>
              <w:numPr>
                <w:ilvl w:val="0"/>
                <w:numId w:val="1"/>
              </w:numPr>
              <w:spacing w:before="100" w:beforeAutospacing="1" w:after="100" w:afterAutospacing="1"/>
              <w:jc w:val="both"/>
            </w:pPr>
          </w:p>
        </w:tc>
        <w:tc>
          <w:tcPr>
            <w:tcW w:w="0" w:type="auto"/>
            <w:shd w:val="clear" w:color="auto" w:fill="auto"/>
          </w:tcPr>
          <w:p w:rsidR="00E45CBA" w:rsidRPr="007E067D" w:rsidRDefault="00561286" w:rsidP="007E067D">
            <w:pPr>
              <w:pStyle w:val="ListParagraph"/>
              <w:numPr>
                <w:ilvl w:val="0"/>
                <w:numId w:val="2"/>
              </w:numPr>
              <w:spacing w:before="100" w:beforeAutospacing="1" w:after="100" w:afterAutospacing="1"/>
              <w:jc w:val="both"/>
            </w:pPr>
            <w:r w:rsidRPr="007E067D">
              <w:t xml:space="preserve">Succession planning of key responsibilities and hedging of risks associated.  </w:t>
            </w:r>
          </w:p>
          <w:p w:rsidR="00E45CBA" w:rsidRPr="007E067D" w:rsidRDefault="00561286" w:rsidP="007E067D">
            <w:pPr>
              <w:pStyle w:val="ListParagraph"/>
              <w:numPr>
                <w:ilvl w:val="0"/>
                <w:numId w:val="2"/>
              </w:numPr>
              <w:spacing w:before="100" w:beforeAutospacing="1" w:after="100" w:afterAutospacing="1"/>
              <w:jc w:val="both"/>
            </w:pPr>
            <w:r w:rsidRPr="007E067D">
              <w:t xml:space="preserve">Project documentation and audit trail.  </w:t>
            </w:r>
          </w:p>
          <w:p w:rsidR="00E45CBA" w:rsidRPr="007E067D" w:rsidRDefault="00561286" w:rsidP="007E067D">
            <w:pPr>
              <w:pStyle w:val="ListParagraph"/>
              <w:numPr>
                <w:ilvl w:val="0"/>
                <w:numId w:val="2"/>
              </w:numPr>
              <w:spacing w:before="100" w:beforeAutospacing="1" w:after="100" w:afterAutospacing="1"/>
              <w:jc w:val="both"/>
            </w:pPr>
            <w:r w:rsidRPr="007E067D">
              <w:t>Activities sufficiently documented, decisions recorded and actions taken to record all activities for reference purposes.</w:t>
            </w:r>
          </w:p>
          <w:p w:rsidR="00E45CBA" w:rsidRPr="007E067D" w:rsidRDefault="00561286" w:rsidP="007E067D">
            <w:pPr>
              <w:pStyle w:val="ListParagraph"/>
              <w:numPr>
                <w:ilvl w:val="0"/>
                <w:numId w:val="2"/>
              </w:numPr>
              <w:spacing w:before="100" w:beforeAutospacing="1" w:after="100" w:afterAutospacing="1"/>
              <w:jc w:val="both"/>
            </w:pPr>
            <w:r w:rsidRPr="007E067D">
              <w:t>Documentation of system changes and business process consideration to retain an audit trail.</w:t>
            </w:r>
          </w:p>
        </w:tc>
        <w:tc>
          <w:tcPr>
            <w:tcW w:w="0" w:type="auto"/>
            <w:shd w:val="clear" w:color="auto" w:fill="auto"/>
          </w:tcPr>
          <w:p w:rsidR="00E45CBA" w:rsidRPr="007E067D" w:rsidRDefault="00561286" w:rsidP="007E067D">
            <w:pPr>
              <w:numPr>
                <w:ilvl w:val="0"/>
                <w:numId w:val="0"/>
              </w:numPr>
              <w:spacing w:before="100" w:beforeAutospacing="1" w:after="100" w:afterAutospacing="1"/>
              <w:ind w:left="142"/>
              <w:jc w:val="both"/>
            </w:pPr>
            <w:r w:rsidRPr="007E067D">
              <w:t>Project Management and Oversight</w:t>
            </w:r>
          </w:p>
        </w:tc>
      </w:tr>
      <w:tr w:rsidR="000A3DDB" w:rsidRPr="007E067D" w:rsidTr="007E067D">
        <w:tc>
          <w:tcPr>
            <w:tcW w:w="0" w:type="auto"/>
            <w:shd w:val="clear" w:color="auto" w:fill="auto"/>
          </w:tcPr>
          <w:p w:rsidR="00E45CBA" w:rsidRPr="007E067D" w:rsidRDefault="00E45CBA" w:rsidP="007E067D">
            <w:pPr>
              <w:pStyle w:val="ListParagraph"/>
              <w:numPr>
                <w:ilvl w:val="0"/>
                <w:numId w:val="1"/>
              </w:numPr>
              <w:spacing w:before="100" w:beforeAutospacing="1" w:after="100" w:afterAutospacing="1"/>
              <w:jc w:val="both"/>
            </w:pPr>
          </w:p>
        </w:tc>
        <w:tc>
          <w:tcPr>
            <w:tcW w:w="0" w:type="auto"/>
            <w:shd w:val="clear" w:color="auto" w:fill="auto"/>
          </w:tcPr>
          <w:p w:rsidR="00E45CBA" w:rsidRPr="007E067D" w:rsidRDefault="00561286" w:rsidP="007E067D">
            <w:pPr>
              <w:numPr>
                <w:ilvl w:val="0"/>
                <w:numId w:val="0"/>
              </w:numPr>
              <w:spacing w:before="100" w:beforeAutospacing="1" w:after="100" w:afterAutospacing="1"/>
              <w:ind w:left="142"/>
              <w:jc w:val="both"/>
            </w:pPr>
            <w:r w:rsidRPr="007E067D">
              <w:t xml:space="preserve">Budget provision adequate to support the mSCOA/System Conversion process.  Control being exercised over utilisation of budgeted resources.  </w:t>
            </w:r>
          </w:p>
        </w:tc>
        <w:tc>
          <w:tcPr>
            <w:tcW w:w="0" w:type="auto"/>
            <w:shd w:val="clear" w:color="auto" w:fill="auto"/>
          </w:tcPr>
          <w:p w:rsidR="00E45CBA" w:rsidRPr="007E067D" w:rsidRDefault="00561286" w:rsidP="007E067D">
            <w:pPr>
              <w:numPr>
                <w:ilvl w:val="0"/>
                <w:numId w:val="0"/>
              </w:numPr>
              <w:spacing w:before="100" w:beforeAutospacing="1" w:after="100" w:afterAutospacing="1"/>
              <w:ind w:left="142"/>
              <w:jc w:val="both"/>
            </w:pPr>
            <w:r w:rsidRPr="007E067D">
              <w:t>Project Management and Oversight</w:t>
            </w:r>
          </w:p>
        </w:tc>
      </w:tr>
      <w:tr w:rsidR="000A3DDB" w:rsidRPr="007E067D" w:rsidTr="007E067D">
        <w:tc>
          <w:tcPr>
            <w:tcW w:w="0" w:type="auto"/>
            <w:shd w:val="clear" w:color="auto" w:fill="auto"/>
          </w:tcPr>
          <w:p w:rsidR="00E45CBA" w:rsidRPr="007E067D" w:rsidRDefault="00E45CBA" w:rsidP="007E067D">
            <w:pPr>
              <w:pStyle w:val="ListParagraph"/>
              <w:numPr>
                <w:ilvl w:val="0"/>
                <w:numId w:val="1"/>
              </w:numPr>
              <w:spacing w:before="100" w:beforeAutospacing="1" w:after="100" w:afterAutospacing="1"/>
              <w:jc w:val="both"/>
            </w:pPr>
          </w:p>
        </w:tc>
        <w:tc>
          <w:tcPr>
            <w:tcW w:w="0" w:type="auto"/>
            <w:shd w:val="clear" w:color="auto" w:fill="auto"/>
          </w:tcPr>
          <w:p w:rsidR="00E45CBA" w:rsidRPr="007E067D" w:rsidRDefault="00561286" w:rsidP="007E067D">
            <w:pPr>
              <w:numPr>
                <w:ilvl w:val="0"/>
                <w:numId w:val="0"/>
              </w:numPr>
              <w:spacing w:before="100" w:beforeAutospacing="1" w:after="100" w:afterAutospacing="1"/>
              <w:ind w:left="142"/>
              <w:jc w:val="both"/>
            </w:pPr>
            <w:proofErr w:type="gramStart"/>
            <w:r w:rsidRPr="007E067D">
              <w:t>mSCOA</w:t>
            </w:r>
            <w:proofErr w:type="gramEnd"/>
            <w:r w:rsidRPr="007E067D">
              <w:t xml:space="preserve"> Version Control – process defined to ensure activities aligned to the latest release of mSCOA.  </w:t>
            </w:r>
            <w:r w:rsidR="008C2F0B" w:rsidRPr="007E067D">
              <w:t>Alternatively,</w:t>
            </w:r>
            <w:r w:rsidRPr="007E067D">
              <w:t xml:space="preserve"> the decision might have been taken to work on a specific release and at a later stage to assess change</w:t>
            </w:r>
            <w:r w:rsidR="00893BFA" w:rsidRPr="007E067D">
              <w:t>s</w:t>
            </w:r>
            <w:r w:rsidRPr="007E067D">
              <w:t xml:space="preserve"> made in </w:t>
            </w:r>
            <w:r w:rsidR="00893BFA" w:rsidRPr="007E067D">
              <w:t xml:space="preserve">a </w:t>
            </w:r>
            <w:r w:rsidRPr="007E067D">
              <w:t xml:space="preserve">later release and update activities for implementation.  </w:t>
            </w:r>
          </w:p>
        </w:tc>
        <w:tc>
          <w:tcPr>
            <w:tcW w:w="0" w:type="auto"/>
            <w:shd w:val="clear" w:color="auto" w:fill="auto"/>
          </w:tcPr>
          <w:p w:rsidR="00E45CBA" w:rsidRPr="007E067D" w:rsidRDefault="00561286" w:rsidP="007E067D">
            <w:pPr>
              <w:numPr>
                <w:ilvl w:val="0"/>
                <w:numId w:val="0"/>
              </w:numPr>
              <w:spacing w:before="100" w:beforeAutospacing="1" w:after="100" w:afterAutospacing="1"/>
              <w:ind w:left="142"/>
              <w:jc w:val="both"/>
            </w:pPr>
            <w:r w:rsidRPr="007E067D">
              <w:t>Project Management and Oversight</w:t>
            </w:r>
          </w:p>
        </w:tc>
      </w:tr>
      <w:tr w:rsidR="000A3DDB" w:rsidRPr="007E067D" w:rsidTr="007E067D">
        <w:tc>
          <w:tcPr>
            <w:tcW w:w="0" w:type="auto"/>
            <w:shd w:val="clear" w:color="auto" w:fill="auto"/>
          </w:tcPr>
          <w:p w:rsidR="00E45CBA" w:rsidRPr="007E067D" w:rsidRDefault="00E45CBA" w:rsidP="007E067D">
            <w:pPr>
              <w:pStyle w:val="ListParagraph"/>
              <w:numPr>
                <w:ilvl w:val="0"/>
                <w:numId w:val="1"/>
              </w:numPr>
              <w:spacing w:before="100" w:beforeAutospacing="1" w:after="100" w:afterAutospacing="1"/>
              <w:jc w:val="both"/>
            </w:pPr>
          </w:p>
        </w:tc>
        <w:tc>
          <w:tcPr>
            <w:tcW w:w="0" w:type="auto"/>
            <w:shd w:val="clear" w:color="auto" w:fill="auto"/>
          </w:tcPr>
          <w:p w:rsidR="00E45CBA" w:rsidRPr="007E067D" w:rsidRDefault="00561286" w:rsidP="007E067D">
            <w:pPr>
              <w:numPr>
                <w:ilvl w:val="0"/>
                <w:numId w:val="0"/>
              </w:numPr>
              <w:spacing w:before="100" w:beforeAutospacing="1" w:after="100" w:afterAutospacing="1"/>
              <w:ind w:left="142"/>
              <w:jc w:val="both"/>
            </w:pPr>
            <w:r w:rsidRPr="007E067D">
              <w:t xml:space="preserve">The role and involvement of System Vendors defined.  </w:t>
            </w:r>
          </w:p>
        </w:tc>
        <w:tc>
          <w:tcPr>
            <w:tcW w:w="0" w:type="auto"/>
            <w:shd w:val="clear" w:color="auto" w:fill="auto"/>
          </w:tcPr>
          <w:p w:rsidR="00E45CBA" w:rsidRPr="007E067D" w:rsidRDefault="00561286" w:rsidP="007E067D">
            <w:pPr>
              <w:numPr>
                <w:ilvl w:val="0"/>
                <w:numId w:val="0"/>
              </w:numPr>
              <w:spacing w:before="100" w:beforeAutospacing="1" w:after="100" w:afterAutospacing="1"/>
              <w:ind w:left="142"/>
              <w:jc w:val="both"/>
            </w:pPr>
            <w:r w:rsidRPr="007E067D">
              <w:t>Project Management and Oversight</w:t>
            </w:r>
          </w:p>
        </w:tc>
      </w:tr>
      <w:tr w:rsidR="000A3DDB" w:rsidRPr="007E067D" w:rsidTr="007E067D">
        <w:tc>
          <w:tcPr>
            <w:tcW w:w="0" w:type="auto"/>
            <w:shd w:val="clear" w:color="auto" w:fill="auto"/>
          </w:tcPr>
          <w:p w:rsidR="00E45CBA" w:rsidRPr="007E067D" w:rsidRDefault="00E45CBA" w:rsidP="007E067D">
            <w:pPr>
              <w:pStyle w:val="ListParagraph"/>
              <w:numPr>
                <w:ilvl w:val="0"/>
                <w:numId w:val="1"/>
              </w:numPr>
              <w:spacing w:before="100" w:beforeAutospacing="1" w:after="100" w:afterAutospacing="1"/>
              <w:jc w:val="both"/>
            </w:pPr>
          </w:p>
        </w:tc>
        <w:tc>
          <w:tcPr>
            <w:tcW w:w="0" w:type="auto"/>
            <w:shd w:val="clear" w:color="auto" w:fill="auto"/>
          </w:tcPr>
          <w:p w:rsidR="00E45CBA" w:rsidRPr="007E067D" w:rsidRDefault="00561286" w:rsidP="007E067D">
            <w:pPr>
              <w:numPr>
                <w:ilvl w:val="0"/>
                <w:numId w:val="0"/>
              </w:numPr>
              <w:spacing w:before="100" w:beforeAutospacing="1" w:after="100" w:afterAutospacing="1"/>
              <w:ind w:left="142"/>
              <w:jc w:val="both"/>
            </w:pPr>
            <w:r w:rsidRPr="007E067D">
              <w:t>Change Management, sharing information, involvement of various levels in business process integration.  Attendants to meetings sharing knowledge through formalised communication channels.  Institutionalised training to prepare all levels of staff on the business process requirements</w:t>
            </w:r>
            <w:r w:rsidR="0050462B" w:rsidRPr="007E067D">
              <w:t>;</w:t>
            </w:r>
            <w:r w:rsidRPr="007E067D">
              <w:t xml:space="preserve"> mSCOA application within system environment</w:t>
            </w:r>
            <w:r w:rsidR="0050462B" w:rsidRPr="007E067D">
              <w:t>;</w:t>
            </w:r>
            <w:r w:rsidRPr="007E067D">
              <w:t xml:space="preserve"> revised budget requirements</w:t>
            </w:r>
            <w:r w:rsidR="0050462B" w:rsidRPr="007E067D">
              <w:t>;</w:t>
            </w:r>
            <w:r w:rsidRPr="007E067D">
              <w:t xml:space="preserve"> and</w:t>
            </w:r>
            <w:r w:rsidR="0050462B" w:rsidRPr="007E067D">
              <w:t>,</w:t>
            </w:r>
            <w:r w:rsidRPr="007E067D">
              <w:t xml:space="preserve"> potential impact on business reports.  </w:t>
            </w:r>
          </w:p>
        </w:tc>
        <w:tc>
          <w:tcPr>
            <w:tcW w:w="0" w:type="auto"/>
            <w:shd w:val="clear" w:color="auto" w:fill="auto"/>
          </w:tcPr>
          <w:p w:rsidR="00E45CBA" w:rsidRPr="007E067D" w:rsidRDefault="00561286" w:rsidP="007E067D">
            <w:pPr>
              <w:numPr>
                <w:ilvl w:val="0"/>
                <w:numId w:val="0"/>
              </w:numPr>
              <w:spacing w:before="100" w:beforeAutospacing="1" w:after="100" w:afterAutospacing="1"/>
              <w:ind w:left="142"/>
              <w:jc w:val="both"/>
            </w:pPr>
            <w:r w:rsidRPr="007E067D">
              <w:t>Change Management</w:t>
            </w:r>
          </w:p>
        </w:tc>
      </w:tr>
      <w:tr w:rsidR="000A3DDB" w:rsidRPr="007E067D" w:rsidTr="007E067D">
        <w:tc>
          <w:tcPr>
            <w:tcW w:w="0" w:type="auto"/>
            <w:shd w:val="clear" w:color="auto" w:fill="auto"/>
          </w:tcPr>
          <w:p w:rsidR="00641FE5" w:rsidRPr="007E067D" w:rsidRDefault="00641FE5" w:rsidP="007E067D">
            <w:pPr>
              <w:pStyle w:val="ListParagraph"/>
              <w:numPr>
                <w:ilvl w:val="0"/>
                <w:numId w:val="1"/>
              </w:numPr>
              <w:spacing w:before="100" w:beforeAutospacing="1" w:after="100" w:afterAutospacing="1"/>
              <w:jc w:val="both"/>
            </w:pPr>
          </w:p>
        </w:tc>
        <w:tc>
          <w:tcPr>
            <w:tcW w:w="0" w:type="auto"/>
            <w:shd w:val="clear" w:color="auto" w:fill="auto"/>
          </w:tcPr>
          <w:p w:rsidR="00641FE5" w:rsidRPr="007E067D" w:rsidRDefault="00552BD5" w:rsidP="007E067D">
            <w:pPr>
              <w:numPr>
                <w:ilvl w:val="0"/>
                <w:numId w:val="0"/>
              </w:numPr>
              <w:spacing w:before="100" w:beforeAutospacing="1" w:after="100" w:afterAutospacing="1"/>
              <w:ind w:left="142"/>
              <w:jc w:val="both"/>
            </w:pPr>
            <w:r w:rsidRPr="007E067D">
              <w:t>Integrity of data after “data cleaning</w:t>
            </w:r>
            <w:r w:rsidR="004B4297" w:rsidRPr="007E067D">
              <w:t xml:space="preserve">” </w:t>
            </w:r>
            <w:r w:rsidRPr="007E067D">
              <w:t xml:space="preserve">need to be verified before converting to the new system.  </w:t>
            </w:r>
            <w:r w:rsidR="00D567E2" w:rsidRPr="007E067D">
              <w:t xml:space="preserve">Important that this exercise need to be completed </w:t>
            </w:r>
            <w:r w:rsidR="00F522FB" w:rsidRPr="007E067D">
              <w:t>prior</w:t>
            </w:r>
            <w:r w:rsidR="00D567E2" w:rsidRPr="007E067D">
              <w:t xml:space="preserve"> to conversion.</w:t>
            </w:r>
          </w:p>
        </w:tc>
        <w:tc>
          <w:tcPr>
            <w:tcW w:w="0" w:type="auto"/>
            <w:shd w:val="clear" w:color="auto" w:fill="auto"/>
          </w:tcPr>
          <w:p w:rsidR="00641FE5" w:rsidRPr="007E067D" w:rsidRDefault="008974B8" w:rsidP="007E067D">
            <w:pPr>
              <w:numPr>
                <w:ilvl w:val="0"/>
                <w:numId w:val="0"/>
              </w:numPr>
              <w:spacing w:before="100" w:beforeAutospacing="1" w:after="100" w:afterAutospacing="1"/>
              <w:ind w:left="142"/>
              <w:jc w:val="both"/>
            </w:pPr>
            <w:r w:rsidRPr="007E067D">
              <w:t>???</w:t>
            </w:r>
          </w:p>
        </w:tc>
      </w:tr>
      <w:tr w:rsidR="000A3DDB" w:rsidRPr="007E067D" w:rsidTr="007E067D">
        <w:tc>
          <w:tcPr>
            <w:tcW w:w="0" w:type="auto"/>
            <w:shd w:val="clear" w:color="auto" w:fill="auto"/>
          </w:tcPr>
          <w:p w:rsidR="00E45CBA" w:rsidRPr="007E067D" w:rsidRDefault="00E45CBA" w:rsidP="007E067D">
            <w:pPr>
              <w:pStyle w:val="ListParagraph"/>
              <w:numPr>
                <w:ilvl w:val="0"/>
                <w:numId w:val="1"/>
              </w:numPr>
              <w:spacing w:before="100" w:beforeAutospacing="1" w:after="100" w:afterAutospacing="1"/>
              <w:jc w:val="both"/>
            </w:pPr>
          </w:p>
        </w:tc>
        <w:tc>
          <w:tcPr>
            <w:tcW w:w="0" w:type="auto"/>
            <w:shd w:val="clear" w:color="auto" w:fill="auto"/>
          </w:tcPr>
          <w:p w:rsidR="00E45CBA" w:rsidRPr="007E067D" w:rsidRDefault="00561286" w:rsidP="007E067D">
            <w:pPr>
              <w:numPr>
                <w:ilvl w:val="0"/>
                <w:numId w:val="0"/>
              </w:numPr>
              <w:spacing w:before="100" w:beforeAutospacing="1" w:after="100" w:afterAutospacing="1"/>
              <w:ind w:left="142"/>
              <w:jc w:val="both"/>
            </w:pPr>
            <w:r w:rsidRPr="007E067D">
              <w:t xml:space="preserve">Access to historical information, conversion done to new system defined.  Audit trail for all balances converted, unbundled or consolidated.  </w:t>
            </w:r>
          </w:p>
        </w:tc>
        <w:tc>
          <w:tcPr>
            <w:tcW w:w="0" w:type="auto"/>
            <w:shd w:val="clear" w:color="auto" w:fill="auto"/>
          </w:tcPr>
          <w:p w:rsidR="00E45CBA" w:rsidRPr="007E067D" w:rsidRDefault="00561286" w:rsidP="007E067D">
            <w:pPr>
              <w:numPr>
                <w:ilvl w:val="0"/>
                <w:numId w:val="0"/>
              </w:numPr>
              <w:spacing w:before="100" w:beforeAutospacing="1" w:after="100" w:afterAutospacing="1"/>
              <w:ind w:left="142"/>
              <w:jc w:val="both"/>
            </w:pPr>
            <w:r w:rsidRPr="007E067D">
              <w:t>Secure Information</w:t>
            </w:r>
          </w:p>
        </w:tc>
      </w:tr>
      <w:tr w:rsidR="000A3DDB" w:rsidRPr="007E067D" w:rsidTr="007E067D">
        <w:tc>
          <w:tcPr>
            <w:tcW w:w="0" w:type="auto"/>
            <w:shd w:val="clear" w:color="auto" w:fill="auto"/>
          </w:tcPr>
          <w:p w:rsidR="00E45CBA" w:rsidRPr="007E067D" w:rsidRDefault="00E45CBA" w:rsidP="007E067D">
            <w:pPr>
              <w:pStyle w:val="ListParagraph"/>
              <w:numPr>
                <w:ilvl w:val="0"/>
                <w:numId w:val="1"/>
              </w:numPr>
              <w:spacing w:before="100" w:beforeAutospacing="1" w:after="100" w:afterAutospacing="1"/>
              <w:jc w:val="both"/>
            </w:pPr>
          </w:p>
        </w:tc>
        <w:tc>
          <w:tcPr>
            <w:tcW w:w="0" w:type="auto"/>
            <w:shd w:val="clear" w:color="auto" w:fill="auto"/>
          </w:tcPr>
          <w:p w:rsidR="00E45CBA" w:rsidRPr="007E067D" w:rsidRDefault="00561286" w:rsidP="007E067D">
            <w:pPr>
              <w:numPr>
                <w:ilvl w:val="0"/>
                <w:numId w:val="0"/>
              </w:numPr>
              <w:spacing w:before="100" w:beforeAutospacing="1" w:after="100" w:afterAutospacing="1"/>
              <w:ind w:left="142"/>
              <w:jc w:val="both"/>
            </w:pPr>
            <w:r w:rsidRPr="007E067D">
              <w:t>Concerns, questions and uncertainties logged in FAQ with National Treasury</w:t>
            </w:r>
            <w:r w:rsidR="00D42431" w:rsidRPr="007E067D">
              <w:t>,</w:t>
            </w:r>
            <w:r w:rsidRPr="007E067D">
              <w:t xml:space="preserve"> resolved.</w:t>
            </w:r>
          </w:p>
        </w:tc>
        <w:tc>
          <w:tcPr>
            <w:tcW w:w="0" w:type="auto"/>
            <w:shd w:val="clear" w:color="auto" w:fill="auto"/>
          </w:tcPr>
          <w:p w:rsidR="00E45CBA" w:rsidRPr="007E067D" w:rsidRDefault="00561286" w:rsidP="007E067D">
            <w:pPr>
              <w:numPr>
                <w:ilvl w:val="0"/>
                <w:numId w:val="0"/>
              </w:numPr>
              <w:spacing w:before="100" w:beforeAutospacing="1" w:after="100" w:afterAutospacing="1"/>
              <w:ind w:left="142"/>
              <w:jc w:val="both"/>
            </w:pPr>
            <w:r w:rsidRPr="007E067D">
              <w:t>Change Management</w:t>
            </w:r>
          </w:p>
        </w:tc>
      </w:tr>
      <w:tr w:rsidR="000130E6" w:rsidRPr="007E067D" w:rsidTr="00E92612">
        <w:tc>
          <w:tcPr>
            <w:tcW w:w="0" w:type="auto"/>
            <w:shd w:val="clear" w:color="auto" w:fill="FFCCCC"/>
          </w:tcPr>
          <w:p w:rsidR="00E45CBA" w:rsidRPr="007E067D" w:rsidRDefault="00561286" w:rsidP="007E067D">
            <w:pPr>
              <w:numPr>
                <w:ilvl w:val="0"/>
                <w:numId w:val="0"/>
              </w:numPr>
              <w:spacing w:before="100" w:beforeAutospacing="1" w:after="100" w:afterAutospacing="1"/>
              <w:ind w:left="142"/>
              <w:jc w:val="both"/>
              <w:rPr>
                <w:b/>
              </w:rPr>
            </w:pPr>
            <w:r w:rsidRPr="007E067D">
              <w:rPr>
                <w:b/>
              </w:rPr>
              <w:t>B.</w:t>
            </w:r>
          </w:p>
        </w:tc>
        <w:tc>
          <w:tcPr>
            <w:tcW w:w="0" w:type="auto"/>
            <w:gridSpan w:val="2"/>
            <w:shd w:val="clear" w:color="auto" w:fill="FFCCCC"/>
          </w:tcPr>
          <w:p w:rsidR="00E45CBA" w:rsidRPr="007E067D" w:rsidRDefault="00561286" w:rsidP="007E067D">
            <w:pPr>
              <w:numPr>
                <w:ilvl w:val="0"/>
                <w:numId w:val="0"/>
              </w:numPr>
              <w:spacing w:before="100" w:beforeAutospacing="1" w:after="100" w:afterAutospacing="1"/>
              <w:ind w:left="142"/>
              <w:jc w:val="both"/>
              <w:rPr>
                <w:b/>
              </w:rPr>
            </w:pPr>
            <w:r w:rsidRPr="007E067D">
              <w:rPr>
                <w:b/>
              </w:rPr>
              <w:t>Function/Municipal Standard Classification</w:t>
            </w:r>
          </w:p>
        </w:tc>
      </w:tr>
      <w:tr w:rsidR="000A3DDB" w:rsidRPr="007E067D" w:rsidTr="007E067D">
        <w:tc>
          <w:tcPr>
            <w:tcW w:w="0" w:type="auto"/>
            <w:shd w:val="clear" w:color="auto" w:fill="auto"/>
          </w:tcPr>
          <w:p w:rsidR="00E45CBA" w:rsidRPr="007E067D" w:rsidRDefault="00E45CBA" w:rsidP="007E067D">
            <w:pPr>
              <w:pStyle w:val="ListParagraph"/>
              <w:numPr>
                <w:ilvl w:val="0"/>
                <w:numId w:val="3"/>
              </w:numPr>
              <w:spacing w:before="100" w:beforeAutospacing="1" w:after="100" w:afterAutospacing="1"/>
              <w:jc w:val="both"/>
            </w:pPr>
          </w:p>
        </w:tc>
        <w:tc>
          <w:tcPr>
            <w:tcW w:w="0" w:type="auto"/>
            <w:shd w:val="clear" w:color="auto" w:fill="auto"/>
          </w:tcPr>
          <w:p w:rsidR="00E45CBA" w:rsidRPr="007E067D" w:rsidRDefault="00561286" w:rsidP="007E067D">
            <w:pPr>
              <w:numPr>
                <w:ilvl w:val="0"/>
                <w:numId w:val="0"/>
              </w:numPr>
              <w:spacing w:before="100" w:beforeAutospacing="1" w:after="100" w:afterAutospacing="1"/>
              <w:ind w:left="142"/>
              <w:jc w:val="both"/>
            </w:pPr>
            <w:r w:rsidRPr="007E067D">
              <w:t xml:space="preserve">Association of Function Classification to Municipal Standard Classification adequate and within the “function definition”.  </w:t>
            </w:r>
          </w:p>
        </w:tc>
        <w:tc>
          <w:tcPr>
            <w:tcW w:w="0" w:type="auto"/>
            <w:shd w:val="clear" w:color="auto" w:fill="auto"/>
          </w:tcPr>
          <w:p w:rsidR="00E45CBA" w:rsidRPr="007E067D" w:rsidRDefault="00A30D9C" w:rsidP="007E067D">
            <w:pPr>
              <w:numPr>
                <w:ilvl w:val="0"/>
                <w:numId w:val="0"/>
              </w:numPr>
              <w:spacing w:before="100" w:beforeAutospacing="1" w:after="100" w:afterAutospacing="1"/>
              <w:ind w:left="142"/>
              <w:jc w:val="both"/>
            </w:pPr>
            <w:r w:rsidRPr="007E067D">
              <w:t>Customisation</w:t>
            </w:r>
          </w:p>
        </w:tc>
      </w:tr>
      <w:tr w:rsidR="000A3DDB" w:rsidRPr="007E067D" w:rsidTr="007E067D">
        <w:tc>
          <w:tcPr>
            <w:tcW w:w="0" w:type="auto"/>
            <w:shd w:val="clear" w:color="auto" w:fill="auto"/>
          </w:tcPr>
          <w:p w:rsidR="00E45CBA" w:rsidRPr="007E067D" w:rsidRDefault="00E45CBA" w:rsidP="007E067D">
            <w:pPr>
              <w:pStyle w:val="ListParagraph"/>
              <w:numPr>
                <w:ilvl w:val="0"/>
                <w:numId w:val="3"/>
              </w:numPr>
              <w:spacing w:before="100" w:beforeAutospacing="1" w:after="100" w:afterAutospacing="1"/>
              <w:jc w:val="both"/>
            </w:pPr>
          </w:p>
        </w:tc>
        <w:tc>
          <w:tcPr>
            <w:tcW w:w="0" w:type="auto"/>
            <w:shd w:val="clear" w:color="auto" w:fill="auto"/>
          </w:tcPr>
          <w:p w:rsidR="00E45CBA" w:rsidRPr="007E067D" w:rsidRDefault="00561286" w:rsidP="007E067D">
            <w:pPr>
              <w:numPr>
                <w:ilvl w:val="0"/>
                <w:numId w:val="0"/>
              </w:numPr>
              <w:spacing w:before="100" w:beforeAutospacing="1" w:after="100" w:afterAutospacing="1"/>
              <w:ind w:left="142"/>
              <w:jc w:val="both"/>
            </w:pPr>
            <w:r w:rsidRPr="007E067D">
              <w:t xml:space="preserve">Appropriate decision made on “core vs non-core” functions. </w:t>
            </w:r>
          </w:p>
        </w:tc>
        <w:tc>
          <w:tcPr>
            <w:tcW w:w="0" w:type="auto"/>
            <w:shd w:val="clear" w:color="auto" w:fill="auto"/>
          </w:tcPr>
          <w:p w:rsidR="00E45CBA" w:rsidRPr="007E067D" w:rsidRDefault="00A30D9C" w:rsidP="007E067D">
            <w:pPr>
              <w:numPr>
                <w:ilvl w:val="0"/>
                <w:numId w:val="0"/>
              </w:numPr>
              <w:spacing w:before="100" w:beforeAutospacing="1" w:after="100" w:afterAutospacing="1"/>
              <w:ind w:left="142"/>
              <w:jc w:val="both"/>
            </w:pPr>
            <w:r w:rsidRPr="007E067D">
              <w:t>Customisation</w:t>
            </w:r>
          </w:p>
        </w:tc>
      </w:tr>
      <w:tr w:rsidR="000A3DDB" w:rsidRPr="007E067D" w:rsidTr="007E067D">
        <w:tc>
          <w:tcPr>
            <w:tcW w:w="0" w:type="auto"/>
            <w:shd w:val="clear" w:color="auto" w:fill="auto"/>
          </w:tcPr>
          <w:p w:rsidR="00ED04AD" w:rsidRPr="007E067D" w:rsidRDefault="00ED04AD" w:rsidP="007E067D">
            <w:pPr>
              <w:pStyle w:val="ListParagraph"/>
              <w:numPr>
                <w:ilvl w:val="0"/>
                <w:numId w:val="3"/>
              </w:numPr>
              <w:spacing w:before="100" w:beforeAutospacing="1" w:after="100" w:afterAutospacing="1"/>
              <w:jc w:val="both"/>
            </w:pPr>
          </w:p>
        </w:tc>
        <w:tc>
          <w:tcPr>
            <w:tcW w:w="0" w:type="auto"/>
            <w:shd w:val="clear" w:color="auto" w:fill="auto"/>
          </w:tcPr>
          <w:p w:rsidR="00ED04AD" w:rsidRPr="007E067D" w:rsidRDefault="00ED04AD" w:rsidP="007E067D">
            <w:pPr>
              <w:numPr>
                <w:ilvl w:val="0"/>
                <w:numId w:val="0"/>
              </w:numPr>
              <w:spacing w:before="100" w:beforeAutospacing="1" w:after="100" w:afterAutospacing="1"/>
              <w:ind w:left="142"/>
              <w:jc w:val="both"/>
            </w:pPr>
            <w:r w:rsidRPr="007E067D">
              <w:t>Consider appropriateness of detail added to classification</w:t>
            </w:r>
            <w:r w:rsidR="00A30D9C" w:rsidRPr="007E067D">
              <w:t xml:space="preserve"> is within the definition of the “parent account”.  </w:t>
            </w:r>
          </w:p>
        </w:tc>
        <w:tc>
          <w:tcPr>
            <w:tcW w:w="0" w:type="auto"/>
            <w:shd w:val="clear" w:color="auto" w:fill="auto"/>
          </w:tcPr>
          <w:p w:rsidR="00ED04AD" w:rsidRPr="007E067D" w:rsidRDefault="00A30D9C" w:rsidP="007E067D">
            <w:pPr>
              <w:numPr>
                <w:ilvl w:val="0"/>
                <w:numId w:val="0"/>
              </w:numPr>
              <w:spacing w:before="100" w:beforeAutospacing="1" w:after="100" w:afterAutospacing="1"/>
              <w:ind w:left="142"/>
              <w:jc w:val="both"/>
            </w:pPr>
            <w:r w:rsidRPr="007E067D">
              <w:t>Customisation</w:t>
            </w:r>
          </w:p>
        </w:tc>
      </w:tr>
      <w:tr w:rsidR="000A3DDB" w:rsidRPr="007E067D" w:rsidTr="007E067D">
        <w:tc>
          <w:tcPr>
            <w:tcW w:w="0" w:type="auto"/>
            <w:shd w:val="clear" w:color="auto" w:fill="auto"/>
          </w:tcPr>
          <w:p w:rsidR="00A30D9C" w:rsidRPr="007E067D" w:rsidRDefault="00A30D9C" w:rsidP="007E067D">
            <w:pPr>
              <w:pStyle w:val="ListParagraph"/>
              <w:numPr>
                <w:ilvl w:val="0"/>
                <w:numId w:val="3"/>
              </w:numPr>
              <w:spacing w:before="100" w:beforeAutospacing="1" w:after="100" w:afterAutospacing="1"/>
              <w:jc w:val="both"/>
            </w:pPr>
          </w:p>
        </w:tc>
        <w:tc>
          <w:tcPr>
            <w:tcW w:w="0" w:type="auto"/>
            <w:shd w:val="clear" w:color="auto" w:fill="auto"/>
          </w:tcPr>
          <w:p w:rsidR="00A30D9C" w:rsidRPr="007E067D" w:rsidRDefault="00A30D9C" w:rsidP="007E067D">
            <w:pPr>
              <w:numPr>
                <w:ilvl w:val="0"/>
                <w:numId w:val="0"/>
              </w:numPr>
              <w:spacing w:before="100" w:beforeAutospacing="1" w:after="100" w:afterAutospacing="1"/>
              <w:ind w:left="142"/>
              <w:jc w:val="both"/>
            </w:pPr>
            <w:r w:rsidRPr="007E067D">
              <w:t>Code structure correctly set-up for “children” added to the structure.</w:t>
            </w:r>
          </w:p>
        </w:tc>
        <w:tc>
          <w:tcPr>
            <w:tcW w:w="0" w:type="auto"/>
            <w:shd w:val="clear" w:color="auto" w:fill="auto"/>
          </w:tcPr>
          <w:p w:rsidR="00A30D9C" w:rsidRPr="007E067D" w:rsidRDefault="00A30D9C" w:rsidP="007E067D">
            <w:pPr>
              <w:numPr>
                <w:ilvl w:val="0"/>
                <w:numId w:val="0"/>
              </w:numPr>
              <w:spacing w:before="100" w:beforeAutospacing="1" w:after="100" w:afterAutospacing="1"/>
              <w:ind w:left="142"/>
              <w:jc w:val="both"/>
            </w:pPr>
            <w:r w:rsidRPr="007E067D">
              <w:t>Customisation</w:t>
            </w:r>
          </w:p>
        </w:tc>
      </w:tr>
      <w:tr w:rsidR="000130E6" w:rsidRPr="007E067D" w:rsidTr="00E92612">
        <w:tc>
          <w:tcPr>
            <w:tcW w:w="0" w:type="auto"/>
            <w:shd w:val="clear" w:color="auto" w:fill="FFCCCC"/>
          </w:tcPr>
          <w:p w:rsidR="0055223C" w:rsidRPr="007E067D" w:rsidRDefault="0055223C" w:rsidP="007E067D">
            <w:pPr>
              <w:numPr>
                <w:ilvl w:val="0"/>
                <w:numId w:val="0"/>
              </w:numPr>
              <w:spacing w:before="100" w:beforeAutospacing="1" w:after="100" w:afterAutospacing="1"/>
              <w:ind w:left="142"/>
              <w:jc w:val="both"/>
              <w:rPr>
                <w:b/>
              </w:rPr>
            </w:pPr>
            <w:r w:rsidRPr="007E067D">
              <w:rPr>
                <w:b/>
              </w:rPr>
              <w:t>C.</w:t>
            </w:r>
          </w:p>
        </w:tc>
        <w:tc>
          <w:tcPr>
            <w:tcW w:w="0" w:type="auto"/>
            <w:gridSpan w:val="2"/>
            <w:shd w:val="clear" w:color="auto" w:fill="FFCCCC"/>
          </w:tcPr>
          <w:p w:rsidR="0055223C" w:rsidRPr="007E067D" w:rsidRDefault="0055223C" w:rsidP="007E067D">
            <w:pPr>
              <w:numPr>
                <w:ilvl w:val="0"/>
                <w:numId w:val="0"/>
              </w:numPr>
              <w:spacing w:before="100" w:beforeAutospacing="1" w:after="100" w:afterAutospacing="1"/>
              <w:ind w:left="142"/>
              <w:jc w:val="both"/>
              <w:rPr>
                <w:b/>
              </w:rPr>
            </w:pPr>
            <w:r w:rsidRPr="007E067D">
              <w:rPr>
                <w:b/>
              </w:rPr>
              <w:t>Project</w:t>
            </w:r>
          </w:p>
        </w:tc>
      </w:tr>
      <w:tr w:rsidR="000A3DDB" w:rsidRPr="007E067D" w:rsidTr="007E067D">
        <w:tc>
          <w:tcPr>
            <w:tcW w:w="0" w:type="auto"/>
            <w:shd w:val="clear" w:color="auto" w:fill="auto"/>
          </w:tcPr>
          <w:p w:rsidR="00E45CBA" w:rsidRPr="007E067D" w:rsidRDefault="00E45CBA" w:rsidP="007E067D">
            <w:pPr>
              <w:pStyle w:val="ListParagraph"/>
              <w:numPr>
                <w:ilvl w:val="0"/>
                <w:numId w:val="4"/>
              </w:numPr>
              <w:spacing w:before="100" w:beforeAutospacing="1" w:after="100" w:afterAutospacing="1"/>
              <w:jc w:val="both"/>
            </w:pPr>
          </w:p>
        </w:tc>
        <w:tc>
          <w:tcPr>
            <w:tcW w:w="0" w:type="auto"/>
            <w:shd w:val="clear" w:color="auto" w:fill="auto"/>
          </w:tcPr>
          <w:p w:rsidR="00E45CBA" w:rsidRPr="007E067D" w:rsidRDefault="00561286" w:rsidP="007E067D">
            <w:pPr>
              <w:numPr>
                <w:ilvl w:val="0"/>
                <w:numId w:val="0"/>
              </w:numPr>
              <w:spacing w:before="100" w:beforeAutospacing="1" w:after="100" w:afterAutospacing="1"/>
              <w:ind w:left="142"/>
              <w:jc w:val="both"/>
            </w:pPr>
            <w:r w:rsidRPr="007E067D">
              <w:t>Capital projects defined within the concept of the IDP.</w:t>
            </w:r>
            <w:r w:rsidR="00A30D9C" w:rsidRPr="007E067D">
              <w:t xml:space="preserve">  Also consider other sources of information used.</w:t>
            </w:r>
          </w:p>
        </w:tc>
        <w:tc>
          <w:tcPr>
            <w:tcW w:w="0" w:type="auto"/>
            <w:shd w:val="clear" w:color="auto" w:fill="auto"/>
          </w:tcPr>
          <w:p w:rsidR="00E45CBA" w:rsidRPr="007E067D" w:rsidRDefault="00A30D9C" w:rsidP="007E067D">
            <w:pPr>
              <w:numPr>
                <w:ilvl w:val="0"/>
                <w:numId w:val="0"/>
              </w:numPr>
              <w:spacing w:before="100" w:beforeAutospacing="1" w:after="100" w:afterAutospacing="1"/>
              <w:ind w:left="142"/>
              <w:jc w:val="both"/>
            </w:pPr>
            <w:r w:rsidRPr="007E067D">
              <w:t>Customisation</w:t>
            </w:r>
          </w:p>
        </w:tc>
      </w:tr>
      <w:tr w:rsidR="000A3DDB" w:rsidRPr="007E067D" w:rsidTr="007E067D">
        <w:tc>
          <w:tcPr>
            <w:tcW w:w="0" w:type="auto"/>
            <w:shd w:val="clear" w:color="auto" w:fill="auto"/>
          </w:tcPr>
          <w:p w:rsidR="00E45CBA" w:rsidRPr="007E067D" w:rsidRDefault="00E45CBA" w:rsidP="007E067D">
            <w:pPr>
              <w:pStyle w:val="ListParagraph"/>
              <w:numPr>
                <w:ilvl w:val="0"/>
                <w:numId w:val="4"/>
              </w:numPr>
              <w:spacing w:before="100" w:beforeAutospacing="1" w:after="100" w:afterAutospacing="1"/>
              <w:jc w:val="both"/>
            </w:pPr>
          </w:p>
        </w:tc>
        <w:tc>
          <w:tcPr>
            <w:tcW w:w="0" w:type="auto"/>
            <w:shd w:val="clear" w:color="auto" w:fill="auto"/>
          </w:tcPr>
          <w:p w:rsidR="00E45CBA" w:rsidRPr="007E067D" w:rsidRDefault="00561286" w:rsidP="007E067D">
            <w:pPr>
              <w:numPr>
                <w:ilvl w:val="0"/>
                <w:numId w:val="0"/>
              </w:numPr>
              <w:spacing w:before="100" w:beforeAutospacing="1" w:after="100" w:afterAutospacing="1"/>
              <w:ind w:left="142"/>
              <w:jc w:val="both"/>
            </w:pPr>
            <w:r w:rsidRPr="007E067D">
              <w:t>Construction Work-in-progress - balance split to defined projects.</w:t>
            </w:r>
          </w:p>
        </w:tc>
        <w:tc>
          <w:tcPr>
            <w:tcW w:w="0" w:type="auto"/>
            <w:shd w:val="clear" w:color="auto" w:fill="auto"/>
          </w:tcPr>
          <w:p w:rsidR="00E45CBA" w:rsidRPr="007E067D" w:rsidRDefault="00261D52" w:rsidP="007E067D">
            <w:pPr>
              <w:numPr>
                <w:ilvl w:val="0"/>
                <w:numId w:val="0"/>
              </w:numPr>
              <w:spacing w:before="100" w:beforeAutospacing="1" w:after="100" w:afterAutospacing="1"/>
              <w:ind w:left="142"/>
              <w:jc w:val="both"/>
            </w:pPr>
            <w:r w:rsidRPr="007E067D">
              <w:t>Customisation</w:t>
            </w:r>
          </w:p>
        </w:tc>
      </w:tr>
      <w:tr w:rsidR="000A3DDB" w:rsidRPr="007E067D" w:rsidTr="007E067D">
        <w:tc>
          <w:tcPr>
            <w:tcW w:w="0" w:type="auto"/>
            <w:shd w:val="clear" w:color="auto" w:fill="auto"/>
          </w:tcPr>
          <w:p w:rsidR="00E45CBA" w:rsidRPr="007E067D" w:rsidRDefault="00E45CBA" w:rsidP="007E067D">
            <w:pPr>
              <w:pStyle w:val="ListParagraph"/>
              <w:numPr>
                <w:ilvl w:val="0"/>
                <w:numId w:val="4"/>
              </w:numPr>
              <w:spacing w:before="100" w:beforeAutospacing="1" w:after="100" w:afterAutospacing="1"/>
              <w:jc w:val="both"/>
            </w:pPr>
          </w:p>
        </w:tc>
        <w:tc>
          <w:tcPr>
            <w:tcW w:w="0" w:type="auto"/>
            <w:shd w:val="clear" w:color="auto" w:fill="auto"/>
          </w:tcPr>
          <w:p w:rsidR="00E45CBA" w:rsidRPr="007E067D" w:rsidRDefault="00561286" w:rsidP="007E067D">
            <w:pPr>
              <w:numPr>
                <w:ilvl w:val="0"/>
                <w:numId w:val="0"/>
              </w:numPr>
              <w:spacing w:before="100" w:beforeAutospacing="1" w:after="100" w:afterAutospacing="1"/>
              <w:ind w:left="142"/>
              <w:jc w:val="both"/>
            </w:pPr>
            <w:r w:rsidRPr="007E067D">
              <w:t xml:space="preserve">Project used as the driver for setting-up budgets.  </w:t>
            </w:r>
          </w:p>
        </w:tc>
        <w:tc>
          <w:tcPr>
            <w:tcW w:w="0" w:type="auto"/>
            <w:shd w:val="clear" w:color="auto" w:fill="auto"/>
          </w:tcPr>
          <w:p w:rsidR="00E45CBA" w:rsidRPr="007E067D" w:rsidRDefault="00261D52" w:rsidP="007E067D">
            <w:pPr>
              <w:numPr>
                <w:ilvl w:val="0"/>
                <w:numId w:val="0"/>
              </w:numPr>
              <w:spacing w:before="100" w:beforeAutospacing="1" w:after="100" w:afterAutospacing="1"/>
              <w:ind w:left="142"/>
              <w:jc w:val="both"/>
            </w:pPr>
            <w:r w:rsidRPr="007E067D">
              <w:t>Customisation</w:t>
            </w:r>
          </w:p>
        </w:tc>
      </w:tr>
      <w:tr w:rsidR="000A3DDB" w:rsidRPr="007E067D" w:rsidTr="007E067D">
        <w:tc>
          <w:tcPr>
            <w:tcW w:w="0" w:type="auto"/>
            <w:shd w:val="clear" w:color="auto" w:fill="auto"/>
          </w:tcPr>
          <w:p w:rsidR="00E45CBA" w:rsidRPr="007E067D" w:rsidRDefault="00E45CBA" w:rsidP="007E067D">
            <w:pPr>
              <w:pStyle w:val="ListParagraph"/>
              <w:numPr>
                <w:ilvl w:val="0"/>
                <w:numId w:val="4"/>
              </w:numPr>
              <w:spacing w:before="100" w:beforeAutospacing="1" w:after="100" w:afterAutospacing="1"/>
              <w:jc w:val="both"/>
            </w:pPr>
          </w:p>
        </w:tc>
        <w:tc>
          <w:tcPr>
            <w:tcW w:w="0" w:type="auto"/>
            <w:shd w:val="clear" w:color="auto" w:fill="auto"/>
          </w:tcPr>
          <w:p w:rsidR="00E45CBA" w:rsidRPr="007E067D" w:rsidRDefault="00561286" w:rsidP="007E067D">
            <w:pPr>
              <w:numPr>
                <w:ilvl w:val="0"/>
                <w:numId w:val="0"/>
              </w:numPr>
              <w:spacing w:before="100" w:beforeAutospacing="1" w:after="100" w:afterAutospacing="1"/>
              <w:ind w:left="142"/>
              <w:jc w:val="both"/>
            </w:pPr>
            <w:r w:rsidRPr="007E067D">
              <w:t>Repairs and maintenance dealt with as an operational project.</w:t>
            </w:r>
          </w:p>
        </w:tc>
        <w:tc>
          <w:tcPr>
            <w:tcW w:w="0" w:type="auto"/>
            <w:shd w:val="clear" w:color="auto" w:fill="auto"/>
          </w:tcPr>
          <w:p w:rsidR="00E45CBA" w:rsidRPr="007E067D" w:rsidRDefault="00261D52" w:rsidP="007E067D">
            <w:pPr>
              <w:numPr>
                <w:ilvl w:val="0"/>
                <w:numId w:val="0"/>
              </w:numPr>
              <w:spacing w:before="100" w:beforeAutospacing="1" w:after="100" w:afterAutospacing="1"/>
              <w:ind w:left="142"/>
              <w:jc w:val="both"/>
            </w:pPr>
            <w:r w:rsidRPr="007E067D">
              <w:t>Customisation</w:t>
            </w:r>
          </w:p>
        </w:tc>
      </w:tr>
      <w:tr w:rsidR="000A3DDB" w:rsidRPr="007E067D" w:rsidTr="007E067D">
        <w:tc>
          <w:tcPr>
            <w:tcW w:w="0" w:type="auto"/>
            <w:shd w:val="clear" w:color="auto" w:fill="auto"/>
          </w:tcPr>
          <w:p w:rsidR="00E45CBA" w:rsidRPr="007E067D" w:rsidRDefault="00E45CBA" w:rsidP="007E067D">
            <w:pPr>
              <w:pStyle w:val="ListParagraph"/>
              <w:numPr>
                <w:ilvl w:val="0"/>
                <w:numId w:val="4"/>
              </w:numPr>
              <w:spacing w:before="100" w:beforeAutospacing="1" w:after="100" w:afterAutospacing="1"/>
              <w:jc w:val="both"/>
            </w:pPr>
          </w:p>
        </w:tc>
        <w:tc>
          <w:tcPr>
            <w:tcW w:w="0" w:type="auto"/>
            <w:shd w:val="clear" w:color="auto" w:fill="auto"/>
          </w:tcPr>
          <w:p w:rsidR="00261D52" w:rsidRPr="007E067D" w:rsidRDefault="00261D52" w:rsidP="007E067D">
            <w:pPr>
              <w:numPr>
                <w:ilvl w:val="0"/>
                <w:numId w:val="0"/>
              </w:numPr>
              <w:spacing w:before="100" w:beforeAutospacing="1" w:after="100" w:afterAutospacing="1"/>
              <w:ind w:left="142"/>
              <w:jc w:val="both"/>
            </w:pPr>
            <w:r w:rsidRPr="007E067D">
              <w:t>Code structure correctly set-up for “children” added to the structure.</w:t>
            </w:r>
          </w:p>
        </w:tc>
        <w:tc>
          <w:tcPr>
            <w:tcW w:w="0" w:type="auto"/>
            <w:shd w:val="clear" w:color="auto" w:fill="auto"/>
          </w:tcPr>
          <w:p w:rsidR="00261D52" w:rsidRPr="007E067D" w:rsidRDefault="00261D52" w:rsidP="007E067D">
            <w:pPr>
              <w:numPr>
                <w:ilvl w:val="0"/>
                <w:numId w:val="0"/>
              </w:numPr>
              <w:spacing w:before="100" w:beforeAutospacing="1" w:after="100" w:afterAutospacing="1"/>
              <w:ind w:left="142"/>
              <w:jc w:val="both"/>
            </w:pPr>
            <w:r w:rsidRPr="007E067D">
              <w:t>Customisation</w:t>
            </w:r>
          </w:p>
        </w:tc>
      </w:tr>
      <w:tr w:rsidR="000A3DDB" w:rsidRPr="007E067D" w:rsidTr="007E067D">
        <w:tc>
          <w:tcPr>
            <w:tcW w:w="0" w:type="auto"/>
            <w:shd w:val="clear" w:color="auto" w:fill="auto"/>
          </w:tcPr>
          <w:p w:rsidR="00261D52" w:rsidRPr="007E067D" w:rsidRDefault="00261D52" w:rsidP="007E067D">
            <w:pPr>
              <w:pStyle w:val="ListParagraph"/>
              <w:numPr>
                <w:ilvl w:val="0"/>
                <w:numId w:val="4"/>
              </w:numPr>
              <w:spacing w:before="100" w:beforeAutospacing="1" w:after="100" w:afterAutospacing="1"/>
              <w:jc w:val="both"/>
            </w:pPr>
          </w:p>
        </w:tc>
        <w:tc>
          <w:tcPr>
            <w:tcW w:w="0" w:type="auto"/>
            <w:shd w:val="clear" w:color="auto" w:fill="auto"/>
          </w:tcPr>
          <w:p w:rsidR="00261D52" w:rsidRPr="007E067D" w:rsidRDefault="00261D52" w:rsidP="007E067D">
            <w:pPr>
              <w:numPr>
                <w:ilvl w:val="0"/>
                <w:numId w:val="0"/>
              </w:numPr>
              <w:spacing w:before="100" w:beforeAutospacing="1" w:after="100" w:afterAutospacing="1"/>
              <w:ind w:left="142"/>
              <w:jc w:val="both"/>
            </w:pPr>
            <w:r w:rsidRPr="007E067D">
              <w:t xml:space="preserve">Consider descriptions used for projects – no general, special, other, etc. </w:t>
            </w:r>
            <w:r w:rsidR="005B6A99" w:rsidRPr="007E067D">
              <w:t>p</w:t>
            </w:r>
            <w:r w:rsidRPr="007E067D">
              <w:t xml:space="preserve">rojects created.  </w:t>
            </w:r>
          </w:p>
        </w:tc>
        <w:tc>
          <w:tcPr>
            <w:tcW w:w="0" w:type="auto"/>
            <w:shd w:val="clear" w:color="auto" w:fill="auto"/>
          </w:tcPr>
          <w:p w:rsidR="00261D52" w:rsidRPr="007E067D" w:rsidRDefault="00261D52" w:rsidP="007E067D">
            <w:pPr>
              <w:numPr>
                <w:ilvl w:val="0"/>
                <w:numId w:val="0"/>
              </w:numPr>
              <w:spacing w:before="100" w:beforeAutospacing="1" w:after="100" w:afterAutospacing="1"/>
              <w:ind w:left="142"/>
              <w:jc w:val="both"/>
            </w:pPr>
            <w:r w:rsidRPr="007E067D">
              <w:t>Customisation</w:t>
            </w:r>
          </w:p>
        </w:tc>
      </w:tr>
      <w:tr w:rsidR="000130E6" w:rsidRPr="007E067D" w:rsidTr="00E92612">
        <w:tc>
          <w:tcPr>
            <w:tcW w:w="0" w:type="auto"/>
            <w:shd w:val="clear" w:color="auto" w:fill="FFCCCC"/>
          </w:tcPr>
          <w:p w:rsidR="0055223C" w:rsidRPr="007E067D" w:rsidRDefault="0055223C" w:rsidP="007E067D">
            <w:pPr>
              <w:numPr>
                <w:ilvl w:val="0"/>
                <w:numId w:val="0"/>
              </w:numPr>
              <w:spacing w:before="100" w:beforeAutospacing="1" w:after="100" w:afterAutospacing="1"/>
              <w:ind w:left="142"/>
              <w:jc w:val="both"/>
              <w:rPr>
                <w:b/>
              </w:rPr>
            </w:pPr>
            <w:r w:rsidRPr="007E067D">
              <w:rPr>
                <w:b/>
              </w:rPr>
              <w:t>D.</w:t>
            </w:r>
          </w:p>
        </w:tc>
        <w:tc>
          <w:tcPr>
            <w:tcW w:w="0" w:type="auto"/>
            <w:gridSpan w:val="2"/>
            <w:shd w:val="clear" w:color="auto" w:fill="FFCCCC"/>
          </w:tcPr>
          <w:p w:rsidR="0055223C" w:rsidRPr="007E067D" w:rsidRDefault="0055223C" w:rsidP="007E067D">
            <w:pPr>
              <w:numPr>
                <w:ilvl w:val="0"/>
                <w:numId w:val="0"/>
              </w:numPr>
              <w:spacing w:before="100" w:beforeAutospacing="1" w:after="100" w:afterAutospacing="1"/>
              <w:ind w:left="142"/>
              <w:jc w:val="both"/>
              <w:rPr>
                <w:b/>
              </w:rPr>
            </w:pPr>
            <w:r w:rsidRPr="007E067D">
              <w:rPr>
                <w:b/>
              </w:rPr>
              <w:t>Regional Indicator</w:t>
            </w:r>
          </w:p>
        </w:tc>
      </w:tr>
      <w:tr w:rsidR="000A3DDB" w:rsidRPr="007E067D" w:rsidTr="007E067D">
        <w:tc>
          <w:tcPr>
            <w:tcW w:w="0" w:type="auto"/>
            <w:shd w:val="clear" w:color="auto" w:fill="auto"/>
          </w:tcPr>
          <w:p w:rsidR="00E45CBA" w:rsidRPr="007E067D" w:rsidRDefault="00E45CBA" w:rsidP="007E067D">
            <w:pPr>
              <w:pStyle w:val="ListParagraph"/>
              <w:numPr>
                <w:ilvl w:val="0"/>
                <w:numId w:val="5"/>
              </w:numPr>
              <w:spacing w:before="100" w:beforeAutospacing="1" w:after="100" w:afterAutospacing="1"/>
              <w:jc w:val="both"/>
            </w:pPr>
          </w:p>
        </w:tc>
        <w:tc>
          <w:tcPr>
            <w:tcW w:w="0" w:type="auto"/>
            <w:shd w:val="clear" w:color="auto" w:fill="auto"/>
          </w:tcPr>
          <w:p w:rsidR="00E45CBA" w:rsidRPr="007E067D" w:rsidRDefault="00561286" w:rsidP="007E067D">
            <w:pPr>
              <w:numPr>
                <w:ilvl w:val="0"/>
                <w:numId w:val="0"/>
              </w:numPr>
              <w:spacing w:before="100" w:beforeAutospacing="1" w:after="100" w:afterAutospacing="1"/>
              <w:ind w:left="142"/>
              <w:jc w:val="both"/>
            </w:pPr>
            <w:r w:rsidRPr="007E067D">
              <w:t>Information provided to mSCOA to add to Tables.</w:t>
            </w:r>
          </w:p>
        </w:tc>
        <w:tc>
          <w:tcPr>
            <w:tcW w:w="0" w:type="auto"/>
            <w:shd w:val="clear" w:color="auto" w:fill="auto"/>
          </w:tcPr>
          <w:p w:rsidR="00E45CBA" w:rsidRPr="007E067D" w:rsidRDefault="00261D52" w:rsidP="007E067D">
            <w:pPr>
              <w:numPr>
                <w:ilvl w:val="0"/>
                <w:numId w:val="0"/>
              </w:numPr>
              <w:spacing w:before="100" w:beforeAutospacing="1" w:after="100" w:afterAutospacing="1"/>
              <w:ind w:left="142"/>
              <w:jc w:val="both"/>
            </w:pPr>
            <w:r w:rsidRPr="007E067D">
              <w:t>Customisation</w:t>
            </w:r>
          </w:p>
        </w:tc>
      </w:tr>
      <w:tr w:rsidR="000A3DDB" w:rsidRPr="007E067D" w:rsidTr="007E067D">
        <w:tc>
          <w:tcPr>
            <w:tcW w:w="0" w:type="auto"/>
            <w:shd w:val="clear" w:color="auto" w:fill="auto"/>
          </w:tcPr>
          <w:p w:rsidR="00E45CBA" w:rsidRPr="007E067D" w:rsidRDefault="00E45CBA" w:rsidP="007E067D">
            <w:pPr>
              <w:pStyle w:val="ListParagraph"/>
              <w:numPr>
                <w:ilvl w:val="0"/>
                <w:numId w:val="5"/>
              </w:numPr>
              <w:spacing w:before="100" w:beforeAutospacing="1" w:after="100" w:afterAutospacing="1"/>
              <w:jc w:val="both"/>
            </w:pPr>
          </w:p>
        </w:tc>
        <w:tc>
          <w:tcPr>
            <w:tcW w:w="0" w:type="auto"/>
            <w:shd w:val="clear" w:color="auto" w:fill="auto"/>
          </w:tcPr>
          <w:p w:rsidR="00261D52" w:rsidRPr="007E067D" w:rsidRDefault="00261D52" w:rsidP="007E067D">
            <w:pPr>
              <w:numPr>
                <w:ilvl w:val="0"/>
                <w:numId w:val="0"/>
              </w:numPr>
              <w:spacing w:before="100" w:beforeAutospacing="1" w:after="100" w:afterAutospacing="1"/>
              <w:ind w:left="142"/>
              <w:jc w:val="both"/>
            </w:pPr>
            <w:r w:rsidRPr="007E067D">
              <w:t>Code structure correctly set-up for “children” added to the structure.</w:t>
            </w:r>
          </w:p>
        </w:tc>
        <w:tc>
          <w:tcPr>
            <w:tcW w:w="0" w:type="auto"/>
            <w:shd w:val="clear" w:color="auto" w:fill="auto"/>
          </w:tcPr>
          <w:p w:rsidR="00261D52" w:rsidRPr="007E067D" w:rsidRDefault="00261D52" w:rsidP="007E067D">
            <w:pPr>
              <w:numPr>
                <w:ilvl w:val="0"/>
                <w:numId w:val="0"/>
              </w:numPr>
              <w:spacing w:before="100" w:beforeAutospacing="1" w:after="100" w:afterAutospacing="1"/>
              <w:ind w:left="142"/>
              <w:jc w:val="both"/>
            </w:pPr>
            <w:r w:rsidRPr="007E067D">
              <w:t>Customisation</w:t>
            </w:r>
          </w:p>
        </w:tc>
      </w:tr>
      <w:tr w:rsidR="000130E6" w:rsidRPr="007E067D" w:rsidTr="00E92612">
        <w:tc>
          <w:tcPr>
            <w:tcW w:w="0" w:type="auto"/>
            <w:shd w:val="clear" w:color="auto" w:fill="FFCCCC"/>
          </w:tcPr>
          <w:p w:rsidR="0055223C" w:rsidRPr="007E067D" w:rsidRDefault="0055223C" w:rsidP="007E067D">
            <w:pPr>
              <w:numPr>
                <w:ilvl w:val="0"/>
                <w:numId w:val="0"/>
              </w:numPr>
              <w:spacing w:before="100" w:beforeAutospacing="1" w:after="100" w:afterAutospacing="1"/>
              <w:ind w:left="142"/>
              <w:jc w:val="both"/>
              <w:rPr>
                <w:b/>
              </w:rPr>
            </w:pPr>
            <w:r w:rsidRPr="007E067D">
              <w:rPr>
                <w:b/>
              </w:rPr>
              <w:t>E.</w:t>
            </w:r>
          </w:p>
        </w:tc>
        <w:tc>
          <w:tcPr>
            <w:tcW w:w="0" w:type="auto"/>
            <w:gridSpan w:val="2"/>
            <w:shd w:val="clear" w:color="auto" w:fill="FFCCCC"/>
          </w:tcPr>
          <w:p w:rsidR="0055223C" w:rsidRPr="007E067D" w:rsidRDefault="0055223C" w:rsidP="007E067D">
            <w:pPr>
              <w:numPr>
                <w:ilvl w:val="0"/>
                <w:numId w:val="0"/>
              </w:numPr>
              <w:spacing w:before="100" w:beforeAutospacing="1" w:after="100" w:afterAutospacing="1"/>
              <w:ind w:left="142"/>
              <w:jc w:val="both"/>
              <w:rPr>
                <w:b/>
              </w:rPr>
            </w:pPr>
            <w:r w:rsidRPr="007E067D">
              <w:rPr>
                <w:b/>
              </w:rPr>
              <w:t>Funding</w:t>
            </w:r>
          </w:p>
        </w:tc>
      </w:tr>
      <w:tr w:rsidR="000A3DDB" w:rsidRPr="007E067D" w:rsidTr="007E067D">
        <w:tc>
          <w:tcPr>
            <w:tcW w:w="0" w:type="auto"/>
            <w:shd w:val="clear" w:color="auto" w:fill="auto"/>
          </w:tcPr>
          <w:p w:rsidR="00E45CBA" w:rsidRPr="007E067D" w:rsidRDefault="00E45CBA" w:rsidP="007E067D">
            <w:pPr>
              <w:pStyle w:val="ListParagraph"/>
              <w:numPr>
                <w:ilvl w:val="0"/>
                <w:numId w:val="6"/>
              </w:numPr>
              <w:spacing w:before="100" w:beforeAutospacing="1" w:after="100" w:afterAutospacing="1"/>
              <w:jc w:val="both"/>
            </w:pPr>
          </w:p>
        </w:tc>
        <w:tc>
          <w:tcPr>
            <w:tcW w:w="0" w:type="auto"/>
            <w:shd w:val="clear" w:color="auto" w:fill="auto"/>
          </w:tcPr>
          <w:p w:rsidR="00E45CBA" w:rsidRPr="007E067D" w:rsidRDefault="00561286" w:rsidP="007E067D">
            <w:pPr>
              <w:numPr>
                <w:ilvl w:val="0"/>
                <w:numId w:val="0"/>
              </w:numPr>
              <w:spacing w:before="100" w:beforeAutospacing="1" w:after="100" w:afterAutospacing="1"/>
              <w:ind w:left="142"/>
              <w:jc w:val="both"/>
            </w:pPr>
            <w:r w:rsidRPr="007E067D">
              <w:t>Funding detail customised by the municipality.</w:t>
            </w:r>
          </w:p>
        </w:tc>
        <w:tc>
          <w:tcPr>
            <w:tcW w:w="0" w:type="auto"/>
            <w:shd w:val="clear" w:color="auto" w:fill="auto"/>
          </w:tcPr>
          <w:p w:rsidR="00E45CBA" w:rsidRPr="007E067D" w:rsidRDefault="00261D52" w:rsidP="007E067D">
            <w:pPr>
              <w:numPr>
                <w:ilvl w:val="0"/>
                <w:numId w:val="0"/>
              </w:numPr>
              <w:spacing w:before="100" w:beforeAutospacing="1" w:after="100" w:afterAutospacing="1"/>
              <w:ind w:left="142"/>
              <w:jc w:val="both"/>
            </w:pPr>
            <w:r w:rsidRPr="007E067D">
              <w:t>Customisation</w:t>
            </w:r>
          </w:p>
        </w:tc>
      </w:tr>
      <w:tr w:rsidR="000A3DDB" w:rsidRPr="007E067D" w:rsidTr="007E067D">
        <w:tc>
          <w:tcPr>
            <w:tcW w:w="0" w:type="auto"/>
            <w:shd w:val="clear" w:color="auto" w:fill="auto"/>
          </w:tcPr>
          <w:p w:rsidR="00E45CBA" w:rsidRPr="007E067D" w:rsidRDefault="00E45CBA" w:rsidP="007E067D">
            <w:pPr>
              <w:pStyle w:val="ListParagraph"/>
              <w:numPr>
                <w:ilvl w:val="0"/>
                <w:numId w:val="6"/>
              </w:numPr>
              <w:spacing w:before="100" w:beforeAutospacing="1" w:after="100" w:afterAutospacing="1"/>
              <w:jc w:val="both"/>
            </w:pPr>
          </w:p>
        </w:tc>
        <w:tc>
          <w:tcPr>
            <w:tcW w:w="0" w:type="auto"/>
            <w:shd w:val="clear" w:color="auto" w:fill="auto"/>
          </w:tcPr>
          <w:p w:rsidR="00261D52" w:rsidRPr="007E067D" w:rsidRDefault="00261D52" w:rsidP="007E067D">
            <w:pPr>
              <w:numPr>
                <w:ilvl w:val="0"/>
                <w:numId w:val="0"/>
              </w:numPr>
              <w:spacing w:before="100" w:beforeAutospacing="1" w:after="100" w:afterAutospacing="1"/>
              <w:ind w:left="142"/>
              <w:jc w:val="both"/>
            </w:pPr>
            <w:r w:rsidRPr="007E067D">
              <w:t>Code structure correctly set-up for “children” added to the structure.</w:t>
            </w:r>
          </w:p>
        </w:tc>
        <w:tc>
          <w:tcPr>
            <w:tcW w:w="0" w:type="auto"/>
            <w:shd w:val="clear" w:color="auto" w:fill="auto"/>
          </w:tcPr>
          <w:p w:rsidR="00261D52" w:rsidRPr="007E067D" w:rsidRDefault="00261D52" w:rsidP="007E067D">
            <w:pPr>
              <w:numPr>
                <w:ilvl w:val="0"/>
                <w:numId w:val="0"/>
              </w:numPr>
              <w:spacing w:before="100" w:beforeAutospacing="1" w:after="100" w:afterAutospacing="1"/>
              <w:ind w:left="142"/>
              <w:jc w:val="both"/>
            </w:pPr>
            <w:r w:rsidRPr="007E067D">
              <w:t>Customisation</w:t>
            </w:r>
          </w:p>
        </w:tc>
      </w:tr>
      <w:tr w:rsidR="000A3DDB" w:rsidRPr="007E067D" w:rsidTr="007E067D">
        <w:tc>
          <w:tcPr>
            <w:tcW w:w="0" w:type="auto"/>
            <w:shd w:val="clear" w:color="auto" w:fill="auto"/>
          </w:tcPr>
          <w:p w:rsidR="00E45CBA" w:rsidRPr="007E067D" w:rsidRDefault="00E45CBA" w:rsidP="007E067D">
            <w:pPr>
              <w:pStyle w:val="ListParagraph"/>
              <w:numPr>
                <w:ilvl w:val="0"/>
                <w:numId w:val="6"/>
              </w:numPr>
              <w:spacing w:before="100" w:beforeAutospacing="1" w:after="100" w:afterAutospacing="1"/>
              <w:jc w:val="both"/>
            </w:pPr>
          </w:p>
        </w:tc>
        <w:tc>
          <w:tcPr>
            <w:tcW w:w="0" w:type="auto"/>
            <w:shd w:val="clear" w:color="auto" w:fill="auto"/>
          </w:tcPr>
          <w:p w:rsidR="00E45CBA" w:rsidRPr="007E067D" w:rsidRDefault="00561286" w:rsidP="007E067D">
            <w:pPr>
              <w:numPr>
                <w:ilvl w:val="0"/>
                <w:numId w:val="0"/>
              </w:numPr>
              <w:spacing w:before="100" w:beforeAutospacing="1" w:after="100" w:afterAutospacing="1"/>
              <w:ind w:left="142"/>
              <w:jc w:val="both"/>
            </w:pPr>
            <w:r w:rsidRPr="007E067D">
              <w:t>Process followed in setting up “opening balances”?</w:t>
            </w:r>
          </w:p>
        </w:tc>
        <w:tc>
          <w:tcPr>
            <w:tcW w:w="0" w:type="auto"/>
            <w:shd w:val="clear" w:color="auto" w:fill="auto"/>
          </w:tcPr>
          <w:p w:rsidR="00E45CBA" w:rsidRPr="007E067D" w:rsidRDefault="00261D52" w:rsidP="007E067D">
            <w:pPr>
              <w:numPr>
                <w:ilvl w:val="0"/>
                <w:numId w:val="0"/>
              </w:numPr>
              <w:spacing w:before="100" w:beforeAutospacing="1" w:after="100" w:afterAutospacing="1"/>
              <w:ind w:left="142"/>
              <w:jc w:val="both"/>
            </w:pPr>
            <w:r w:rsidRPr="007E067D">
              <w:t>Customisation</w:t>
            </w:r>
          </w:p>
        </w:tc>
      </w:tr>
      <w:tr w:rsidR="000130E6" w:rsidRPr="007E067D" w:rsidTr="00E92612">
        <w:tc>
          <w:tcPr>
            <w:tcW w:w="0" w:type="auto"/>
            <w:shd w:val="clear" w:color="auto" w:fill="FFCCCC"/>
          </w:tcPr>
          <w:p w:rsidR="0055223C" w:rsidRPr="007E067D" w:rsidRDefault="0055223C" w:rsidP="007E067D">
            <w:pPr>
              <w:numPr>
                <w:ilvl w:val="0"/>
                <w:numId w:val="0"/>
              </w:numPr>
              <w:spacing w:before="100" w:beforeAutospacing="1" w:after="100" w:afterAutospacing="1"/>
              <w:ind w:left="142"/>
              <w:jc w:val="both"/>
              <w:rPr>
                <w:b/>
              </w:rPr>
            </w:pPr>
            <w:r w:rsidRPr="007E067D">
              <w:rPr>
                <w:b/>
              </w:rPr>
              <w:t>F.</w:t>
            </w:r>
          </w:p>
        </w:tc>
        <w:tc>
          <w:tcPr>
            <w:tcW w:w="0" w:type="auto"/>
            <w:gridSpan w:val="2"/>
            <w:shd w:val="clear" w:color="auto" w:fill="FFCCCC"/>
          </w:tcPr>
          <w:p w:rsidR="0055223C" w:rsidRPr="007E067D" w:rsidRDefault="0055223C" w:rsidP="007E067D">
            <w:pPr>
              <w:numPr>
                <w:ilvl w:val="0"/>
                <w:numId w:val="0"/>
              </w:numPr>
              <w:spacing w:before="100" w:beforeAutospacing="1" w:after="100" w:afterAutospacing="1"/>
              <w:ind w:left="142"/>
              <w:jc w:val="both"/>
              <w:rPr>
                <w:b/>
              </w:rPr>
            </w:pPr>
            <w:r w:rsidRPr="007E067D">
              <w:rPr>
                <w:b/>
              </w:rPr>
              <w:t>Item</w:t>
            </w:r>
            <w:r w:rsidRPr="007E067D">
              <w:rPr>
                <w:b/>
              </w:rPr>
              <w:tab/>
            </w:r>
            <w:r w:rsidRPr="007E067D">
              <w:rPr>
                <w:b/>
              </w:rPr>
              <w:tab/>
            </w:r>
          </w:p>
        </w:tc>
      </w:tr>
      <w:tr w:rsidR="000A3DDB" w:rsidRPr="007E067D" w:rsidTr="007E067D">
        <w:tc>
          <w:tcPr>
            <w:tcW w:w="0" w:type="auto"/>
            <w:shd w:val="clear" w:color="auto" w:fill="auto"/>
          </w:tcPr>
          <w:p w:rsidR="00E45CBA" w:rsidRPr="007E067D" w:rsidRDefault="00E45CBA" w:rsidP="007E067D">
            <w:pPr>
              <w:pStyle w:val="ListParagraph"/>
              <w:numPr>
                <w:ilvl w:val="0"/>
                <w:numId w:val="7"/>
              </w:numPr>
              <w:spacing w:before="100" w:beforeAutospacing="1" w:after="100" w:afterAutospacing="1"/>
              <w:jc w:val="both"/>
            </w:pPr>
          </w:p>
        </w:tc>
        <w:tc>
          <w:tcPr>
            <w:tcW w:w="0" w:type="auto"/>
            <w:shd w:val="clear" w:color="auto" w:fill="auto"/>
          </w:tcPr>
          <w:p w:rsidR="00E45CBA" w:rsidRPr="007E067D" w:rsidRDefault="00561286" w:rsidP="007E067D">
            <w:pPr>
              <w:numPr>
                <w:ilvl w:val="0"/>
                <w:numId w:val="0"/>
              </w:numPr>
              <w:spacing w:before="100" w:beforeAutospacing="1" w:after="100" w:afterAutospacing="1"/>
              <w:ind w:left="142"/>
              <w:jc w:val="both"/>
            </w:pPr>
            <w:r w:rsidRPr="007E067D">
              <w:t>Municipality customised mSCOA accounts to only what is needed?</w:t>
            </w:r>
          </w:p>
        </w:tc>
        <w:tc>
          <w:tcPr>
            <w:tcW w:w="0" w:type="auto"/>
            <w:shd w:val="clear" w:color="auto" w:fill="auto"/>
          </w:tcPr>
          <w:p w:rsidR="00E45CBA" w:rsidRPr="007E067D" w:rsidRDefault="00261D52" w:rsidP="007E067D">
            <w:pPr>
              <w:numPr>
                <w:ilvl w:val="0"/>
                <w:numId w:val="0"/>
              </w:numPr>
              <w:spacing w:before="100" w:beforeAutospacing="1" w:after="100" w:afterAutospacing="1"/>
              <w:ind w:left="142"/>
              <w:jc w:val="both"/>
            </w:pPr>
            <w:r w:rsidRPr="007E067D">
              <w:t>Customisation</w:t>
            </w:r>
          </w:p>
        </w:tc>
      </w:tr>
      <w:tr w:rsidR="000A3DDB" w:rsidRPr="007E067D" w:rsidTr="007E067D">
        <w:tc>
          <w:tcPr>
            <w:tcW w:w="0" w:type="auto"/>
            <w:shd w:val="clear" w:color="auto" w:fill="auto"/>
          </w:tcPr>
          <w:p w:rsidR="00E45CBA" w:rsidRPr="007E067D" w:rsidRDefault="00E45CBA" w:rsidP="007E067D">
            <w:pPr>
              <w:pStyle w:val="ListParagraph"/>
              <w:numPr>
                <w:ilvl w:val="0"/>
                <w:numId w:val="7"/>
              </w:numPr>
              <w:spacing w:before="100" w:beforeAutospacing="1" w:after="100" w:afterAutospacing="1"/>
              <w:jc w:val="both"/>
            </w:pPr>
          </w:p>
        </w:tc>
        <w:tc>
          <w:tcPr>
            <w:tcW w:w="0" w:type="auto"/>
            <w:shd w:val="clear" w:color="auto" w:fill="auto"/>
          </w:tcPr>
          <w:p w:rsidR="00E45CBA" w:rsidRPr="007E067D" w:rsidRDefault="00561286" w:rsidP="007E067D">
            <w:pPr>
              <w:numPr>
                <w:ilvl w:val="0"/>
                <w:numId w:val="0"/>
              </w:numPr>
              <w:spacing w:before="100" w:beforeAutospacing="1" w:after="100" w:afterAutospacing="1"/>
              <w:ind w:left="142"/>
              <w:jc w:val="both"/>
            </w:pPr>
            <w:r w:rsidRPr="007E067D">
              <w:t>Cash Equivalents, Investments, Current and Non-current Borrowings set-up based on detail relevant to the municipality.</w:t>
            </w:r>
          </w:p>
        </w:tc>
        <w:tc>
          <w:tcPr>
            <w:tcW w:w="0" w:type="auto"/>
            <w:shd w:val="clear" w:color="auto" w:fill="auto"/>
          </w:tcPr>
          <w:p w:rsidR="00E45CBA" w:rsidRPr="007E067D" w:rsidRDefault="00261D52" w:rsidP="007E067D">
            <w:pPr>
              <w:numPr>
                <w:ilvl w:val="0"/>
                <w:numId w:val="0"/>
              </w:numPr>
              <w:spacing w:before="100" w:beforeAutospacing="1" w:after="100" w:afterAutospacing="1"/>
              <w:ind w:left="142"/>
              <w:jc w:val="both"/>
            </w:pPr>
            <w:r w:rsidRPr="007E067D">
              <w:t>Customisation</w:t>
            </w:r>
          </w:p>
        </w:tc>
      </w:tr>
      <w:tr w:rsidR="000A3DDB" w:rsidRPr="007E067D" w:rsidTr="007E067D">
        <w:tc>
          <w:tcPr>
            <w:tcW w:w="0" w:type="auto"/>
            <w:shd w:val="clear" w:color="auto" w:fill="auto"/>
          </w:tcPr>
          <w:p w:rsidR="00E45CBA" w:rsidRPr="007E067D" w:rsidRDefault="00E45CBA" w:rsidP="007E067D">
            <w:pPr>
              <w:pStyle w:val="ListParagraph"/>
              <w:numPr>
                <w:ilvl w:val="0"/>
                <w:numId w:val="7"/>
              </w:numPr>
              <w:spacing w:before="100" w:beforeAutospacing="1" w:after="100" w:afterAutospacing="1"/>
              <w:jc w:val="both"/>
            </w:pPr>
          </w:p>
        </w:tc>
        <w:tc>
          <w:tcPr>
            <w:tcW w:w="0" w:type="auto"/>
            <w:shd w:val="clear" w:color="auto" w:fill="auto"/>
          </w:tcPr>
          <w:p w:rsidR="00E45CBA" w:rsidRPr="007E067D" w:rsidRDefault="00561286" w:rsidP="007E067D">
            <w:pPr>
              <w:numPr>
                <w:ilvl w:val="0"/>
                <w:numId w:val="0"/>
              </w:numPr>
              <w:spacing w:before="100" w:beforeAutospacing="1" w:after="100" w:afterAutospacing="1"/>
              <w:ind w:left="142"/>
              <w:jc w:val="both"/>
            </w:pPr>
            <w:r w:rsidRPr="007E067D">
              <w:t xml:space="preserve">Property, Plant and Equipment – asset register classification aligned to high-level categories as per mSCOA in accordance with guidelines. </w:t>
            </w:r>
          </w:p>
        </w:tc>
        <w:tc>
          <w:tcPr>
            <w:tcW w:w="0" w:type="auto"/>
            <w:shd w:val="clear" w:color="auto" w:fill="auto"/>
          </w:tcPr>
          <w:p w:rsidR="00E45CBA" w:rsidRPr="007E067D" w:rsidRDefault="00261D52" w:rsidP="007E067D">
            <w:pPr>
              <w:numPr>
                <w:ilvl w:val="0"/>
                <w:numId w:val="0"/>
              </w:numPr>
              <w:spacing w:before="100" w:beforeAutospacing="1" w:after="100" w:afterAutospacing="1"/>
              <w:ind w:left="142"/>
              <w:jc w:val="both"/>
            </w:pPr>
            <w:r w:rsidRPr="007E067D">
              <w:t>Customisation</w:t>
            </w:r>
          </w:p>
        </w:tc>
      </w:tr>
      <w:tr w:rsidR="000A3DDB" w:rsidRPr="007E067D" w:rsidTr="007E067D">
        <w:tc>
          <w:tcPr>
            <w:tcW w:w="0" w:type="auto"/>
            <w:shd w:val="clear" w:color="auto" w:fill="auto"/>
          </w:tcPr>
          <w:p w:rsidR="00E45CBA" w:rsidRPr="007E067D" w:rsidRDefault="00E45CBA" w:rsidP="007E067D">
            <w:pPr>
              <w:pStyle w:val="ListParagraph"/>
              <w:numPr>
                <w:ilvl w:val="0"/>
                <w:numId w:val="7"/>
              </w:numPr>
              <w:spacing w:before="100" w:beforeAutospacing="1" w:after="100" w:afterAutospacing="1"/>
              <w:jc w:val="both"/>
            </w:pPr>
          </w:p>
        </w:tc>
        <w:tc>
          <w:tcPr>
            <w:tcW w:w="0" w:type="auto"/>
            <w:shd w:val="clear" w:color="auto" w:fill="auto"/>
          </w:tcPr>
          <w:p w:rsidR="00261D52" w:rsidRPr="007E067D" w:rsidRDefault="00261D52" w:rsidP="007E067D">
            <w:pPr>
              <w:numPr>
                <w:ilvl w:val="0"/>
                <w:numId w:val="0"/>
              </w:numPr>
              <w:spacing w:before="100" w:beforeAutospacing="1" w:after="100" w:afterAutospacing="1"/>
              <w:ind w:left="142"/>
              <w:jc w:val="both"/>
            </w:pPr>
            <w:r w:rsidRPr="007E067D">
              <w:t>Code structure correctly set-up for “children” added to the structure.</w:t>
            </w:r>
          </w:p>
        </w:tc>
        <w:tc>
          <w:tcPr>
            <w:tcW w:w="0" w:type="auto"/>
            <w:shd w:val="clear" w:color="auto" w:fill="auto"/>
          </w:tcPr>
          <w:p w:rsidR="00261D52" w:rsidRPr="007E067D" w:rsidRDefault="00775B18" w:rsidP="007E067D">
            <w:pPr>
              <w:numPr>
                <w:ilvl w:val="0"/>
                <w:numId w:val="0"/>
              </w:numPr>
              <w:spacing w:before="100" w:beforeAutospacing="1" w:after="100" w:afterAutospacing="1"/>
              <w:ind w:left="142"/>
              <w:jc w:val="both"/>
            </w:pPr>
            <w:r w:rsidRPr="007E067D">
              <w:t>Customisation</w:t>
            </w:r>
          </w:p>
        </w:tc>
      </w:tr>
      <w:tr w:rsidR="000130E6" w:rsidRPr="007E067D" w:rsidTr="00E92612">
        <w:tc>
          <w:tcPr>
            <w:tcW w:w="0" w:type="auto"/>
            <w:shd w:val="clear" w:color="auto" w:fill="FFCCCC"/>
          </w:tcPr>
          <w:p w:rsidR="0055223C" w:rsidRPr="007E067D" w:rsidRDefault="0055223C" w:rsidP="007E067D">
            <w:pPr>
              <w:numPr>
                <w:ilvl w:val="0"/>
                <w:numId w:val="0"/>
              </w:numPr>
              <w:spacing w:before="100" w:beforeAutospacing="1" w:after="100" w:afterAutospacing="1"/>
              <w:ind w:left="142"/>
              <w:jc w:val="both"/>
              <w:rPr>
                <w:b/>
              </w:rPr>
            </w:pPr>
            <w:r w:rsidRPr="007E067D">
              <w:rPr>
                <w:b/>
              </w:rPr>
              <w:t>G.</w:t>
            </w:r>
          </w:p>
        </w:tc>
        <w:tc>
          <w:tcPr>
            <w:tcW w:w="0" w:type="auto"/>
            <w:gridSpan w:val="2"/>
            <w:shd w:val="clear" w:color="auto" w:fill="FFCCCC"/>
          </w:tcPr>
          <w:p w:rsidR="0055223C" w:rsidRPr="007E067D" w:rsidRDefault="0055223C" w:rsidP="007E067D">
            <w:pPr>
              <w:numPr>
                <w:ilvl w:val="0"/>
                <w:numId w:val="0"/>
              </w:numPr>
              <w:spacing w:before="100" w:beforeAutospacing="1" w:after="100" w:afterAutospacing="1"/>
              <w:ind w:left="142"/>
              <w:jc w:val="both"/>
              <w:rPr>
                <w:b/>
              </w:rPr>
            </w:pPr>
            <w:r w:rsidRPr="007E067D">
              <w:rPr>
                <w:b/>
              </w:rPr>
              <w:t>Compliance Requirements</w:t>
            </w:r>
          </w:p>
        </w:tc>
      </w:tr>
      <w:tr w:rsidR="000A3DDB" w:rsidRPr="007E067D" w:rsidTr="007E067D">
        <w:tc>
          <w:tcPr>
            <w:tcW w:w="0" w:type="auto"/>
            <w:shd w:val="clear" w:color="auto" w:fill="auto"/>
          </w:tcPr>
          <w:p w:rsidR="00E45CBA" w:rsidRPr="007E067D" w:rsidRDefault="00E45CBA" w:rsidP="007E067D">
            <w:pPr>
              <w:pStyle w:val="ListParagraph"/>
              <w:numPr>
                <w:ilvl w:val="0"/>
                <w:numId w:val="8"/>
              </w:numPr>
              <w:spacing w:before="100" w:beforeAutospacing="1" w:after="100" w:afterAutospacing="1"/>
              <w:jc w:val="both"/>
            </w:pPr>
          </w:p>
        </w:tc>
        <w:tc>
          <w:tcPr>
            <w:tcW w:w="0" w:type="auto"/>
            <w:shd w:val="clear" w:color="auto" w:fill="auto"/>
          </w:tcPr>
          <w:p w:rsidR="00E45CBA" w:rsidRPr="007E067D" w:rsidRDefault="00561286" w:rsidP="007E067D">
            <w:pPr>
              <w:numPr>
                <w:ilvl w:val="0"/>
                <w:numId w:val="0"/>
              </w:numPr>
              <w:spacing w:before="100" w:beforeAutospacing="1" w:after="100" w:afterAutospacing="1"/>
              <w:ind w:left="142"/>
              <w:jc w:val="both"/>
            </w:pPr>
            <w:r w:rsidRPr="007E067D">
              <w:t>Code Structure – short code conversion tables to mSCOA codes</w:t>
            </w:r>
          </w:p>
        </w:tc>
        <w:tc>
          <w:tcPr>
            <w:tcW w:w="0" w:type="auto"/>
            <w:shd w:val="clear" w:color="auto" w:fill="auto"/>
          </w:tcPr>
          <w:p w:rsidR="00E45CBA" w:rsidRPr="007E067D" w:rsidRDefault="00261D52" w:rsidP="007E067D">
            <w:pPr>
              <w:numPr>
                <w:ilvl w:val="0"/>
                <w:numId w:val="0"/>
              </w:numPr>
              <w:spacing w:before="100" w:beforeAutospacing="1" w:after="100" w:afterAutospacing="1"/>
              <w:ind w:left="142"/>
              <w:jc w:val="both"/>
            </w:pPr>
            <w:r w:rsidRPr="007E067D">
              <w:t>Customisation</w:t>
            </w:r>
          </w:p>
        </w:tc>
      </w:tr>
      <w:tr w:rsidR="000A3DDB" w:rsidRPr="007E067D" w:rsidTr="007E067D">
        <w:tc>
          <w:tcPr>
            <w:tcW w:w="0" w:type="auto"/>
            <w:shd w:val="clear" w:color="auto" w:fill="auto"/>
          </w:tcPr>
          <w:p w:rsidR="00E45CBA" w:rsidRPr="007E067D" w:rsidRDefault="00E45CBA" w:rsidP="007E067D">
            <w:pPr>
              <w:pStyle w:val="ListParagraph"/>
              <w:numPr>
                <w:ilvl w:val="0"/>
                <w:numId w:val="8"/>
              </w:numPr>
              <w:spacing w:before="100" w:beforeAutospacing="1" w:after="100" w:afterAutospacing="1"/>
              <w:jc w:val="both"/>
            </w:pPr>
          </w:p>
        </w:tc>
        <w:tc>
          <w:tcPr>
            <w:tcW w:w="0" w:type="auto"/>
            <w:shd w:val="clear" w:color="auto" w:fill="auto"/>
          </w:tcPr>
          <w:p w:rsidR="00E45CBA" w:rsidRPr="007E067D" w:rsidRDefault="00561286" w:rsidP="007E067D">
            <w:pPr>
              <w:numPr>
                <w:ilvl w:val="0"/>
                <w:numId w:val="0"/>
              </w:numPr>
              <w:spacing w:before="100" w:beforeAutospacing="1" w:after="100" w:afterAutospacing="1"/>
              <w:ind w:left="142"/>
              <w:jc w:val="both"/>
            </w:pPr>
            <w:proofErr w:type="gramStart"/>
            <w:r w:rsidRPr="007E067D">
              <w:t>mSCOA</w:t>
            </w:r>
            <w:proofErr w:type="gramEnd"/>
            <w:r w:rsidRPr="007E067D">
              <w:t xml:space="preserve"> Regulation Compliance to all requirements.  </w:t>
            </w:r>
          </w:p>
        </w:tc>
        <w:tc>
          <w:tcPr>
            <w:tcW w:w="0" w:type="auto"/>
            <w:shd w:val="clear" w:color="auto" w:fill="auto"/>
          </w:tcPr>
          <w:p w:rsidR="00E45CBA" w:rsidRPr="007E067D" w:rsidRDefault="00261D52" w:rsidP="007E067D">
            <w:pPr>
              <w:numPr>
                <w:ilvl w:val="0"/>
                <w:numId w:val="0"/>
              </w:numPr>
              <w:spacing w:before="100" w:beforeAutospacing="1" w:after="100" w:afterAutospacing="1"/>
              <w:ind w:left="142"/>
              <w:jc w:val="both"/>
            </w:pPr>
            <w:r w:rsidRPr="007E067D">
              <w:t>Customisation</w:t>
            </w:r>
          </w:p>
        </w:tc>
      </w:tr>
      <w:tr w:rsidR="000A3DDB" w:rsidRPr="007E067D" w:rsidTr="007E067D">
        <w:tc>
          <w:tcPr>
            <w:tcW w:w="0" w:type="auto"/>
            <w:shd w:val="clear" w:color="auto" w:fill="auto"/>
          </w:tcPr>
          <w:p w:rsidR="00E45CBA" w:rsidRPr="007E067D" w:rsidRDefault="00E45CBA" w:rsidP="007E067D">
            <w:pPr>
              <w:pStyle w:val="ListParagraph"/>
              <w:numPr>
                <w:ilvl w:val="0"/>
                <w:numId w:val="8"/>
              </w:numPr>
              <w:spacing w:before="100" w:beforeAutospacing="1" w:after="100" w:afterAutospacing="1"/>
              <w:jc w:val="both"/>
            </w:pPr>
          </w:p>
        </w:tc>
        <w:tc>
          <w:tcPr>
            <w:tcW w:w="0" w:type="auto"/>
            <w:shd w:val="clear" w:color="auto" w:fill="auto"/>
          </w:tcPr>
          <w:p w:rsidR="00E45CBA" w:rsidRPr="007E067D" w:rsidRDefault="00561286" w:rsidP="007E067D">
            <w:pPr>
              <w:numPr>
                <w:ilvl w:val="0"/>
                <w:numId w:val="0"/>
              </w:numPr>
              <w:spacing w:before="100" w:beforeAutospacing="1" w:after="100" w:afterAutospacing="1"/>
              <w:ind w:left="142"/>
              <w:jc w:val="both"/>
            </w:pPr>
            <w:r w:rsidRPr="007E067D">
              <w:t>Extraction of import files without manual interference.</w:t>
            </w:r>
          </w:p>
        </w:tc>
        <w:tc>
          <w:tcPr>
            <w:tcW w:w="0" w:type="auto"/>
            <w:shd w:val="clear" w:color="auto" w:fill="auto"/>
          </w:tcPr>
          <w:p w:rsidR="00E45CBA" w:rsidRPr="007E067D" w:rsidRDefault="00261D52" w:rsidP="007E067D">
            <w:pPr>
              <w:numPr>
                <w:ilvl w:val="0"/>
                <w:numId w:val="0"/>
              </w:numPr>
              <w:spacing w:before="100" w:beforeAutospacing="1" w:after="100" w:afterAutospacing="1"/>
              <w:ind w:left="142"/>
              <w:jc w:val="both"/>
            </w:pPr>
            <w:r w:rsidRPr="007E067D">
              <w:t>Customisation</w:t>
            </w:r>
          </w:p>
        </w:tc>
      </w:tr>
      <w:tr w:rsidR="000A3DDB" w:rsidRPr="007E067D" w:rsidTr="007E067D">
        <w:tc>
          <w:tcPr>
            <w:tcW w:w="0" w:type="auto"/>
            <w:shd w:val="clear" w:color="auto" w:fill="auto"/>
          </w:tcPr>
          <w:p w:rsidR="00E45CBA" w:rsidRPr="007E067D" w:rsidRDefault="00E45CBA" w:rsidP="007E067D">
            <w:pPr>
              <w:pStyle w:val="ListParagraph"/>
              <w:numPr>
                <w:ilvl w:val="0"/>
                <w:numId w:val="8"/>
              </w:numPr>
              <w:spacing w:before="100" w:beforeAutospacing="1" w:after="100" w:afterAutospacing="1"/>
              <w:jc w:val="both"/>
            </w:pPr>
          </w:p>
        </w:tc>
        <w:tc>
          <w:tcPr>
            <w:tcW w:w="0" w:type="auto"/>
            <w:shd w:val="clear" w:color="auto" w:fill="auto"/>
          </w:tcPr>
          <w:p w:rsidR="00E45CBA" w:rsidRPr="007E067D" w:rsidRDefault="00561286" w:rsidP="007E067D">
            <w:pPr>
              <w:numPr>
                <w:ilvl w:val="0"/>
                <w:numId w:val="0"/>
              </w:numPr>
              <w:spacing w:before="100" w:beforeAutospacing="1" w:after="100" w:afterAutospacing="1"/>
              <w:ind w:left="142"/>
              <w:jc w:val="both"/>
            </w:pPr>
            <w:r w:rsidRPr="007E067D">
              <w:t>Only</w:t>
            </w:r>
            <w:r w:rsidR="00420168" w:rsidRPr="007E067D">
              <w:t xml:space="preserve"> be</w:t>
            </w:r>
            <w:r w:rsidRPr="007E067D">
              <w:t xml:space="preserve"> added if provides for “breakdown allowed”.</w:t>
            </w:r>
          </w:p>
        </w:tc>
        <w:tc>
          <w:tcPr>
            <w:tcW w:w="0" w:type="auto"/>
            <w:shd w:val="clear" w:color="auto" w:fill="auto"/>
          </w:tcPr>
          <w:p w:rsidR="00E45CBA" w:rsidRPr="007E067D" w:rsidRDefault="00261D52" w:rsidP="007E067D">
            <w:pPr>
              <w:numPr>
                <w:ilvl w:val="0"/>
                <w:numId w:val="0"/>
              </w:numPr>
              <w:spacing w:before="100" w:beforeAutospacing="1" w:after="100" w:afterAutospacing="1"/>
              <w:ind w:left="142"/>
              <w:jc w:val="both"/>
            </w:pPr>
            <w:r w:rsidRPr="007E067D">
              <w:t>Customisation</w:t>
            </w:r>
          </w:p>
        </w:tc>
      </w:tr>
      <w:tr w:rsidR="000130E6" w:rsidRPr="007E067D" w:rsidTr="00E92612">
        <w:tc>
          <w:tcPr>
            <w:tcW w:w="0" w:type="auto"/>
            <w:shd w:val="clear" w:color="auto" w:fill="FFCCCC"/>
          </w:tcPr>
          <w:p w:rsidR="0055223C" w:rsidRPr="007E067D" w:rsidRDefault="0055223C" w:rsidP="007E067D">
            <w:pPr>
              <w:numPr>
                <w:ilvl w:val="0"/>
                <w:numId w:val="0"/>
              </w:numPr>
              <w:spacing w:before="100" w:beforeAutospacing="1" w:after="100" w:afterAutospacing="1"/>
              <w:ind w:left="142"/>
              <w:jc w:val="both"/>
              <w:rPr>
                <w:b/>
              </w:rPr>
            </w:pPr>
            <w:r w:rsidRPr="007E067D">
              <w:rPr>
                <w:b/>
              </w:rPr>
              <w:t>H.</w:t>
            </w:r>
          </w:p>
        </w:tc>
        <w:tc>
          <w:tcPr>
            <w:tcW w:w="0" w:type="auto"/>
            <w:gridSpan w:val="2"/>
            <w:shd w:val="clear" w:color="auto" w:fill="FFCCCC"/>
          </w:tcPr>
          <w:p w:rsidR="0055223C" w:rsidRPr="007E067D" w:rsidRDefault="0055223C" w:rsidP="007E067D">
            <w:pPr>
              <w:numPr>
                <w:ilvl w:val="0"/>
                <w:numId w:val="0"/>
              </w:numPr>
              <w:spacing w:before="100" w:beforeAutospacing="1" w:after="100" w:afterAutospacing="1"/>
              <w:ind w:left="142"/>
              <w:jc w:val="both"/>
              <w:rPr>
                <w:b/>
              </w:rPr>
            </w:pPr>
            <w:r w:rsidRPr="007E067D">
              <w:rPr>
                <w:b/>
              </w:rPr>
              <w:t>Financial Statements and Budget Preparation</w:t>
            </w:r>
          </w:p>
        </w:tc>
      </w:tr>
      <w:tr w:rsidR="000A3DDB" w:rsidRPr="007E067D" w:rsidTr="007E067D">
        <w:tc>
          <w:tcPr>
            <w:tcW w:w="0" w:type="auto"/>
            <w:shd w:val="clear" w:color="auto" w:fill="auto"/>
          </w:tcPr>
          <w:p w:rsidR="000C30DE" w:rsidRPr="007E067D" w:rsidRDefault="000C30DE" w:rsidP="007E067D">
            <w:pPr>
              <w:pStyle w:val="ListParagraph"/>
              <w:numPr>
                <w:ilvl w:val="0"/>
                <w:numId w:val="9"/>
              </w:numPr>
              <w:spacing w:before="100" w:beforeAutospacing="1" w:after="100" w:afterAutospacing="1"/>
              <w:jc w:val="both"/>
            </w:pPr>
          </w:p>
        </w:tc>
        <w:tc>
          <w:tcPr>
            <w:tcW w:w="0" w:type="auto"/>
            <w:shd w:val="clear" w:color="auto" w:fill="auto"/>
          </w:tcPr>
          <w:p w:rsidR="000C30DE" w:rsidRPr="007E067D" w:rsidRDefault="000C30DE" w:rsidP="007E067D">
            <w:pPr>
              <w:numPr>
                <w:ilvl w:val="0"/>
                <w:numId w:val="0"/>
              </w:numPr>
              <w:spacing w:before="100" w:beforeAutospacing="1" w:after="100" w:afterAutospacing="1"/>
              <w:ind w:left="142"/>
              <w:jc w:val="both"/>
            </w:pPr>
            <w:r w:rsidRPr="007E067D">
              <w:t>Restatement of Comparatives – sufficient audit trail to support changes made.</w:t>
            </w:r>
          </w:p>
        </w:tc>
        <w:tc>
          <w:tcPr>
            <w:tcW w:w="0" w:type="auto"/>
            <w:shd w:val="clear" w:color="auto" w:fill="auto"/>
          </w:tcPr>
          <w:p w:rsidR="000C30DE" w:rsidRPr="007E067D" w:rsidRDefault="000C30DE" w:rsidP="007E067D">
            <w:pPr>
              <w:numPr>
                <w:ilvl w:val="0"/>
                <w:numId w:val="0"/>
              </w:numPr>
              <w:spacing w:before="100" w:beforeAutospacing="1" w:after="100" w:afterAutospacing="1"/>
              <w:ind w:left="142"/>
              <w:jc w:val="both"/>
            </w:pPr>
            <w:r w:rsidRPr="007E067D">
              <w:t>Balance Verification</w:t>
            </w:r>
          </w:p>
        </w:tc>
      </w:tr>
      <w:tr w:rsidR="000A3DDB" w:rsidRPr="007E067D" w:rsidTr="007E067D">
        <w:tc>
          <w:tcPr>
            <w:tcW w:w="0" w:type="auto"/>
            <w:shd w:val="clear" w:color="auto" w:fill="auto"/>
          </w:tcPr>
          <w:p w:rsidR="000C30DE" w:rsidRPr="007E067D" w:rsidRDefault="000C30DE" w:rsidP="007E067D">
            <w:pPr>
              <w:pStyle w:val="ListParagraph"/>
              <w:numPr>
                <w:ilvl w:val="0"/>
                <w:numId w:val="9"/>
              </w:numPr>
              <w:spacing w:before="100" w:beforeAutospacing="1" w:after="100" w:afterAutospacing="1"/>
              <w:jc w:val="both"/>
            </w:pPr>
          </w:p>
        </w:tc>
        <w:tc>
          <w:tcPr>
            <w:tcW w:w="0" w:type="auto"/>
            <w:shd w:val="clear" w:color="auto" w:fill="auto"/>
          </w:tcPr>
          <w:p w:rsidR="000C30DE" w:rsidRPr="007E067D" w:rsidRDefault="000C30DE" w:rsidP="007E067D">
            <w:pPr>
              <w:numPr>
                <w:ilvl w:val="0"/>
                <w:numId w:val="0"/>
              </w:numPr>
              <w:spacing w:before="100" w:beforeAutospacing="1" w:after="100" w:afterAutospacing="1"/>
              <w:ind w:left="142"/>
              <w:jc w:val="both"/>
            </w:pPr>
            <w:r w:rsidRPr="007E067D">
              <w:t xml:space="preserve">Audit trail supporting unbundling of opening balances </w:t>
            </w:r>
          </w:p>
        </w:tc>
        <w:tc>
          <w:tcPr>
            <w:tcW w:w="0" w:type="auto"/>
            <w:shd w:val="clear" w:color="auto" w:fill="auto"/>
          </w:tcPr>
          <w:p w:rsidR="000C30DE" w:rsidRPr="007E067D" w:rsidRDefault="000C30DE" w:rsidP="007E067D">
            <w:pPr>
              <w:numPr>
                <w:ilvl w:val="0"/>
                <w:numId w:val="0"/>
              </w:numPr>
              <w:spacing w:before="100" w:beforeAutospacing="1" w:after="100" w:afterAutospacing="1"/>
              <w:ind w:left="142"/>
              <w:jc w:val="both"/>
            </w:pPr>
            <w:r w:rsidRPr="007E067D">
              <w:t>Balance Verification</w:t>
            </w:r>
          </w:p>
        </w:tc>
      </w:tr>
      <w:tr w:rsidR="000A3DDB" w:rsidRPr="007E067D" w:rsidTr="007E067D">
        <w:tc>
          <w:tcPr>
            <w:tcW w:w="0" w:type="auto"/>
            <w:shd w:val="clear" w:color="auto" w:fill="auto"/>
          </w:tcPr>
          <w:p w:rsidR="000C30DE" w:rsidRPr="007E067D" w:rsidRDefault="000C30DE" w:rsidP="007E067D">
            <w:pPr>
              <w:pStyle w:val="ListParagraph"/>
              <w:numPr>
                <w:ilvl w:val="0"/>
                <w:numId w:val="9"/>
              </w:numPr>
              <w:spacing w:before="100" w:beforeAutospacing="1" w:after="100" w:afterAutospacing="1"/>
              <w:jc w:val="both"/>
            </w:pPr>
          </w:p>
        </w:tc>
        <w:tc>
          <w:tcPr>
            <w:tcW w:w="0" w:type="auto"/>
            <w:shd w:val="clear" w:color="auto" w:fill="auto"/>
          </w:tcPr>
          <w:p w:rsidR="000C30DE" w:rsidRPr="007E067D" w:rsidRDefault="000C30DE" w:rsidP="007E067D">
            <w:pPr>
              <w:numPr>
                <w:ilvl w:val="0"/>
                <w:numId w:val="0"/>
              </w:numPr>
              <w:spacing w:before="100" w:beforeAutospacing="1" w:after="100" w:afterAutospacing="1"/>
              <w:ind w:left="142"/>
              <w:jc w:val="both"/>
            </w:pPr>
            <w:r w:rsidRPr="007E067D">
              <w:t>Process defined for converting opening balance, closing of “old system” and roll over to new system.</w:t>
            </w:r>
          </w:p>
        </w:tc>
        <w:tc>
          <w:tcPr>
            <w:tcW w:w="0" w:type="auto"/>
            <w:shd w:val="clear" w:color="auto" w:fill="auto"/>
          </w:tcPr>
          <w:p w:rsidR="000C30DE" w:rsidRPr="007E067D" w:rsidRDefault="000C30DE" w:rsidP="007E067D">
            <w:pPr>
              <w:numPr>
                <w:ilvl w:val="0"/>
                <w:numId w:val="0"/>
              </w:numPr>
              <w:spacing w:before="100" w:beforeAutospacing="1" w:after="100" w:afterAutospacing="1"/>
              <w:ind w:left="142"/>
              <w:jc w:val="both"/>
            </w:pPr>
            <w:r w:rsidRPr="007E067D">
              <w:t>Balance Verification</w:t>
            </w:r>
          </w:p>
        </w:tc>
      </w:tr>
      <w:tr w:rsidR="000A3DDB" w:rsidRPr="007E067D" w:rsidTr="007E067D">
        <w:tc>
          <w:tcPr>
            <w:tcW w:w="0" w:type="auto"/>
            <w:shd w:val="clear" w:color="auto" w:fill="auto"/>
          </w:tcPr>
          <w:p w:rsidR="000C30DE" w:rsidRPr="007E067D" w:rsidRDefault="000C30DE" w:rsidP="007E067D">
            <w:pPr>
              <w:pStyle w:val="ListParagraph"/>
              <w:numPr>
                <w:ilvl w:val="0"/>
                <w:numId w:val="9"/>
              </w:numPr>
              <w:spacing w:before="100" w:beforeAutospacing="1" w:after="100" w:afterAutospacing="1"/>
              <w:jc w:val="both"/>
            </w:pPr>
          </w:p>
        </w:tc>
        <w:tc>
          <w:tcPr>
            <w:tcW w:w="0" w:type="auto"/>
            <w:shd w:val="clear" w:color="auto" w:fill="auto"/>
          </w:tcPr>
          <w:p w:rsidR="000C30DE" w:rsidRPr="007E067D" w:rsidRDefault="000C30DE" w:rsidP="007E067D">
            <w:pPr>
              <w:numPr>
                <w:ilvl w:val="0"/>
                <w:numId w:val="0"/>
              </w:numPr>
              <w:spacing w:before="100" w:beforeAutospacing="1" w:after="100" w:afterAutospacing="1"/>
              <w:ind w:left="142"/>
              <w:jc w:val="both"/>
            </w:pPr>
            <w:r w:rsidRPr="007E067D">
              <w:t>Processing of year closing entries</w:t>
            </w:r>
            <w:r w:rsidR="00705703" w:rsidRPr="007E067D">
              <w:t xml:space="preserve">, </w:t>
            </w:r>
            <w:r w:rsidRPr="007E067D">
              <w:t>including audit adjustments to old system and new system – depending on the process defined.</w:t>
            </w:r>
          </w:p>
        </w:tc>
        <w:tc>
          <w:tcPr>
            <w:tcW w:w="0" w:type="auto"/>
            <w:shd w:val="clear" w:color="auto" w:fill="auto"/>
          </w:tcPr>
          <w:p w:rsidR="000C30DE" w:rsidRPr="007E067D" w:rsidRDefault="000C30DE" w:rsidP="007E067D">
            <w:pPr>
              <w:numPr>
                <w:ilvl w:val="0"/>
                <w:numId w:val="0"/>
              </w:numPr>
              <w:spacing w:before="100" w:beforeAutospacing="1" w:after="100" w:afterAutospacing="1"/>
              <w:ind w:left="142"/>
              <w:jc w:val="both"/>
            </w:pPr>
            <w:r w:rsidRPr="007E067D">
              <w:t>Balance Verification</w:t>
            </w:r>
          </w:p>
        </w:tc>
      </w:tr>
      <w:tr w:rsidR="000A3DDB" w:rsidRPr="007E067D" w:rsidTr="007E067D">
        <w:tc>
          <w:tcPr>
            <w:tcW w:w="0" w:type="auto"/>
            <w:shd w:val="clear" w:color="auto" w:fill="auto"/>
          </w:tcPr>
          <w:p w:rsidR="000C30DE" w:rsidRPr="007E067D" w:rsidRDefault="000C30DE" w:rsidP="007E067D">
            <w:pPr>
              <w:pStyle w:val="ListParagraph"/>
              <w:numPr>
                <w:ilvl w:val="0"/>
                <w:numId w:val="9"/>
              </w:numPr>
              <w:spacing w:before="100" w:beforeAutospacing="1" w:after="100" w:afterAutospacing="1"/>
              <w:jc w:val="both"/>
            </w:pPr>
          </w:p>
        </w:tc>
        <w:tc>
          <w:tcPr>
            <w:tcW w:w="0" w:type="auto"/>
            <w:shd w:val="clear" w:color="auto" w:fill="auto"/>
          </w:tcPr>
          <w:p w:rsidR="000C30DE" w:rsidRPr="007E067D" w:rsidRDefault="000C30DE" w:rsidP="007E067D">
            <w:pPr>
              <w:numPr>
                <w:ilvl w:val="0"/>
                <w:numId w:val="0"/>
              </w:numPr>
              <w:spacing w:before="100" w:beforeAutospacing="1" w:after="100" w:afterAutospacing="1"/>
              <w:ind w:left="142"/>
              <w:jc w:val="both"/>
            </w:pPr>
            <w:r w:rsidRPr="007E067D">
              <w:t>Budget for implementation year prepared using mSCOA</w:t>
            </w:r>
            <w:r w:rsidR="008649AC" w:rsidRPr="007E067D">
              <w:t>.  The allowed alternative during the implementation phase may entail that the approved budget</w:t>
            </w:r>
            <w:r w:rsidR="000F012D" w:rsidRPr="007E067D">
              <w:t>,</w:t>
            </w:r>
            <w:r w:rsidR="008649AC" w:rsidRPr="007E067D">
              <w:t xml:space="preserve"> not </w:t>
            </w:r>
            <w:r w:rsidR="000F012D" w:rsidRPr="007E067D">
              <w:t xml:space="preserve">necessarily </w:t>
            </w:r>
            <w:r w:rsidR="008649AC" w:rsidRPr="007E067D">
              <w:t>compiled using mSCOA (either not the going</w:t>
            </w:r>
            <w:r w:rsidR="000F012D" w:rsidRPr="007E067D">
              <w:t>-live</w:t>
            </w:r>
            <w:r w:rsidR="008649AC" w:rsidRPr="007E067D">
              <w:t xml:space="preserve"> version) be converted to the actual version used for “going</w:t>
            </w:r>
            <w:r w:rsidR="000F012D" w:rsidRPr="007E067D">
              <w:t xml:space="preserve"> live</w:t>
            </w:r>
            <w:r w:rsidR="008649AC" w:rsidRPr="007E067D">
              <w:t xml:space="preserve">.  This conversion including the “adjustment budget” must be approved by Council.  </w:t>
            </w:r>
          </w:p>
        </w:tc>
        <w:tc>
          <w:tcPr>
            <w:tcW w:w="0" w:type="auto"/>
            <w:shd w:val="clear" w:color="auto" w:fill="auto"/>
          </w:tcPr>
          <w:p w:rsidR="000C30DE" w:rsidRPr="007E067D" w:rsidRDefault="000C30DE" w:rsidP="007E067D">
            <w:pPr>
              <w:numPr>
                <w:ilvl w:val="0"/>
                <w:numId w:val="0"/>
              </w:numPr>
              <w:spacing w:before="100" w:beforeAutospacing="1" w:after="100" w:afterAutospacing="1"/>
              <w:ind w:left="142"/>
              <w:jc w:val="both"/>
            </w:pPr>
            <w:r w:rsidRPr="007E067D">
              <w:t>Balance Verification</w:t>
            </w:r>
          </w:p>
        </w:tc>
      </w:tr>
    </w:tbl>
    <w:p w:rsidR="00DB4F58" w:rsidRDefault="00DB4F58" w:rsidP="00B13D45">
      <w:pPr>
        <w:numPr>
          <w:ilvl w:val="0"/>
          <w:numId w:val="0"/>
        </w:numPr>
        <w:ind w:left="567"/>
        <w:jc w:val="both"/>
        <w:sectPr w:rsidR="00DB4F58" w:rsidSect="00F8558A">
          <w:headerReference w:type="first" r:id="rId13"/>
          <w:footerReference w:type="first" r:id="rId14"/>
          <w:pgSz w:w="11906" w:h="16838"/>
          <w:pgMar w:top="1701" w:right="1440" w:bottom="794" w:left="1440" w:header="709" w:footer="709" w:gutter="0"/>
          <w:cols w:space="708"/>
          <w:docGrid w:linePitch="381"/>
        </w:sectPr>
      </w:pPr>
    </w:p>
    <w:p w:rsidR="00DB4F58" w:rsidRPr="00674F71" w:rsidRDefault="008C2F0B" w:rsidP="00674F71">
      <w:pPr>
        <w:pStyle w:val="Heading2"/>
        <w:keepNext w:val="0"/>
        <w:keepLines w:val="0"/>
        <w:suppressAutoHyphens/>
        <w:autoSpaceDN w:val="0"/>
        <w:spacing w:before="240" w:after="240"/>
        <w:ind w:left="284" w:right="0" w:hanging="284"/>
        <w:textAlignment w:val="baseline"/>
        <w:rPr>
          <w:rFonts w:ascii="Arial" w:eastAsia="MS Mincho" w:hAnsi="Arial" w:cs="Arial"/>
          <w:bCs w:val="0"/>
          <w:color w:val="auto"/>
          <w:szCs w:val="24"/>
          <w:lang w:eastAsia="en-ZA"/>
        </w:rPr>
      </w:pPr>
      <w:bookmarkStart w:id="73" w:name="_Toc466031776"/>
      <w:bookmarkStart w:id="74" w:name="_Toc466031917"/>
      <w:bookmarkStart w:id="75" w:name="_Toc466032389"/>
      <w:r w:rsidRPr="00674F71">
        <w:rPr>
          <w:rFonts w:ascii="Arial" w:eastAsia="MS Mincho" w:hAnsi="Arial" w:cs="Arial"/>
          <w:bCs w:val="0"/>
          <w:color w:val="auto"/>
          <w:szCs w:val="24"/>
          <w:lang w:eastAsia="en-ZA"/>
        </w:rPr>
        <w:t>ANNEXURE B - KEY CONCEPTS AND PRINCIPLES EXTRACTED FROM THE NATIONAL TREASURY INTERNAL AUDIT FRAMEWORK</w:t>
      </w:r>
      <w:bookmarkEnd w:id="73"/>
      <w:bookmarkEnd w:id="74"/>
      <w:bookmarkEnd w:id="75"/>
      <w:r w:rsidRPr="00674F71">
        <w:rPr>
          <w:rFonts w:ascii="Arial" w:eastAsia="MS Mincho" w:hAnsi="Arial" w:cs="Arial"/>
          <w:bCs w:val="0"/>
          <w:color w:val="auto"/>
          <w:szCs w:val="24"/>
          <w:lang w:eastAsia="en-ZA"/>
        </w:rPr>
        <w:t xml:space="preserve"> </w:t>
      </w:r>
    </w:p>
    <w:p w:rsidR="00DB4F58" w:rsidRPr="006413DA" w:rsidRDefault="00DB4F58" w:rsidP="00B13D45">
      <w:pPr>
        <w:numPr>
          <w:ilvl w:val="0"/>
          <w:numId w:val="12"/>
        </w:numPr>
        <w:jc w:val="both"/>
      </w:pPr>
      <w:r>
        <w:t xml:space="preserve">Various internal audit methodologies are applied by internal auditors.  The paragraphs to follow provide for extracts of key principles and definitions based on a generally accepted framework for local government used as </w:t>
      </w:r>
      <w:r w:rsidR="0016393F">
        <w:t xml:space="preserve">the </w:t>
      </w:r>
      <w:r>
        <w:t xml:space="preserve">basis to prepare this document.  </w:t>
      </w:r>
    </w:p>
    <w:p w:rsidR="00DB4F58" w:rsidRPr="00674F71" w:rsidRDefault="00DB4F58" w:rsidP="00B13D45">
      <w:pPr>
        <w:pStyle w:val="Heading2"/>
        <w:jc w:val="both"/>
        <w:rPr>
          <w:color w:val="auto"/>
        </w:rPr>
      </w:pPr>
      <w:bookmarkStart w:id="76" w:name="_Toc466031777"/>
      <w:bookmarkStart w:id="77" w:name="_Toc466031918"/>
      <w:bookmarkStart w:id="78" w:name="_Toc466032390"/>
      <w:r w:rsidRPr="00674F71">
        <w:rPr>
          <w:color w:val="auto"/>
        </w:rPr>
        <w:t>Internal Audit Activity (IAA)</w:t>
      </w:r>
      <w:bookmarkEnd w:id="76"/>
      <w:bookmarkEnd w:id="77"/>
      <w:bookmarkEnd w:id="78"/>
    </w:p>
    <w:p w:rsidR="00DB4F58" w:rsidRDefault="00DB4F58" w:rsidP="00B13D45">
      <w:pPr>
        <w:jc w:val="both"/>
      </w:pPr>
      <w:r>
        <w:t xml:space="preserve">The </w:t>
      </w:r>
      <w:r w:rsidRPr="001E4B79">
        <w:t xml:space="preserve">International Standards for the Professional Practice of Internal Auditing </w:t>
      </w:r>
      <w:r>
        <w:t>(</w:t>
      </w:r>
      <w:r w:rsidRPr="001E4B79">
        <w:t>ISPPIA</w:t>
      </w:r>
      <w:r>
        <w:t>) defines internal auditing as “an independent, objective assurance and consulting activity designed to add value and improve an organisation’s operations. It helps an organisation accomplish its objectives by bringing a systematic, disciplined approach to evaluate and improve the effectiveness of risk management, control and governance processes.”</w:t>
      </w:r>
    </w:p>
    <w:p w:rsidR="00DB4F58" w:rsidRPr="00674F71" w:rsidRDefault="00DB4F58" w:rsidP="00B13D45">
      <w:pPr>
        <w:pStyle w:val="Heading2"/>
        <w:jc w:val="both"/>
        <w:rPr>
          <w:color w:val="auto"/>
        </w:rPr>
      </w:pPr>
      <w:bookmarkStart w:id="79" w:name="_Toc466031778"/>
      <w:bookmarkStart w:id="80" w:name="_Toc466031919"/>
      <w:bookmarkStart w:id="81" w:name="_Toc466032391"/>
      <w:r w:rsidRPr="00674F71">
        <w:rPr>
          <w:color w:val="auto"/>
        </w:rPr>
        <w:t>Governance Processes</w:t>
      </w:r>
      <w:bookmarkEnd w:id="79"/>
      <w:bookmarkEnd w:id="80"/>
      <w:bookmarkEnd w:id="81"/>
    </w:p>
    <w:p w:rsidR="00DB4F58" w:rsidRDefault="00DB4F58" w:rsidP="00B13D45">
      <w:pPr>
        <w:jc w:val="both"/>
      </w:pPr>
      <w:r w:rsidRPr="00CD0515">
        <w:t xml:space="preserve">The role of the internal audit activity with respect to good governance should be to assist the organisation in achieving its goals, </w:t>
      </w:r>
      <w:r w:rsidR="00794726">
        <w:t xml:space="preserve">by </w:t>
      </w:r>
      <w:r w:rsidRPr="00CD0515">
        <w:t>creating and maintaining particular values.  It does so through the appropriate accountability and by evaluating processes that contribute to the achievement of these goals and values, specifically the communication of the goals and values and the processes used to monitor their respective achievement.</w:t>
      </w:r>
    </w:p>
    <w:p w:rsidR="00DB4F58" w:rsidRPr="00674F71" w:rsidRDefault="00DB4F58" w:rsidP="00B13D45">
      <w:pPr>
        <w:pStyle w:val="Heading2"/>
        <w:jc w:val="both"/>
        <w:rPr>
          <w:color w:val="auto"/>
        </w:rPr>
      </w:pPr>
      <w:bookmarkStart w:id="82" w:name="_Toc466031779"/>
      <w:bookmarkStart w:id="83" w:name="_Toc466031920"/>
      <w:bookmarkStart w:id="84" w:name="_Toc466032392"/>
      <w:r w:rsidRPr="00674F71">
        <w:rPr>
          <w:color w:val="auto"/>
        </w:rPr>
        <w:t>Risk Management</w:t>
      </w:r>
      <w:bookmarkEnd w:id="82"/>
      <w:bookmarkEnd w:id="83"/>
      <w:bookmarkEnd w:id="84"/>
    </w:p>
    <w:p w:rsidR="00DB4F58" w:rsidRDefault="00DB4F58" w:rsidP="00B13D45">
      <w:pPr>
        <w:jc w:val="both"/>
      </w:pPr>
      <w:r>
        <w:t>Risk management is an essential part of effective corporate governance and whilst it is a management responsibility, management expects the audit committee to oversee and provide advice on the organisation’s risk management.  The audit committee needs to review:</w:t>
      </w:r>
    </w:p>
    <w:p w:rsidR="00DB4F58" w:rsidRDefault="00DB4F58" w:rsidP="00B13D45">
      <w:pPr>
        <w:pStyle w:val="ListParagraph"/>
        <w:jc w:val="both"/>
      </w:pPr>
      <w:r>
        <w:t>Whether management has a comprehensive risk management framework;</w:t>
      </w:r>
    </w:p>
    <w:p w:rsidR="00DB4F58" w:rsidRDefault="00DB4F58" w:rsidP="00B13D45">
      <w:pPr>
        <w:pStyle w:val="ListParagraph"/>
        <w:jc w:val="both"/>
      </w:pPr>
      <w:r>
        <w:t>Whether a sound and effective approach has been followed in developing strategic risk management plans;</w:t>
      </w:r>
    </w:p>
    <w:p w:rsidR="00DB4F58" w:rsidRDefault="00DB4F58" w:rsidP="00B13D45">
      <w:pPr>
        <w:pStyle w:val="ListParagraph"/>
        <w:jc w:val="both"/>
      </w:pPr>
      <w:r>
        <w:t>The impact of the organisation’s risk management framework on the control environment; and</w:t>
      </w:r>
    </w:p>
    <w:p w:rsidR="00DB4F58" w:rsidRDefault="00DB4F58" w:rsidP="00B13D45">
      <w:pPr>
        <w:pStyle w:val="ListParagraph"/>
        <w:jc w:val="both"/>
      </w:pPr>
      <w:r>
        <w:t>The organisation’s fraud prevention plan to be satisfied that the organisation has appropriate processes and systems in place to capture, monitor and effectively investigate fraudulent activities.</w:t>
      </w:r>
    </w:p>
    <w:p w:rsidR="00DB4F58" w:rsidRPr="00674F71" w:rsidRDefault="00DB4F58" w:rsidP="00B13D45">
      <w:pPr>
        <w:pStyle w:val="Heading2"/>
        <w:jc w:val="both"/>
        <w:rPr>
          <w:color w:val="auto"/>
        </w:rPr>
      </w:pPr>
      <w:bookmarkStart w:id="85" w:name="_Toc466031780"/>
      <w:bookmarkStart w:id="86" w:name="_Toc466031921"/>
      <w:bookmarkStart w:id="87" w:name="_Toc466032393"/>
      <w:r w:rsidRPr="00674F71">
        <w:rPr>
          <w:color w:val="auto"/>
        </w:rPr>
        <w:t>Risk Management Processes</w:t>
      </w:r>
      <w:bookmarkEnd w:id="85"/>
      <w:bookmarkEnd w:id="86"/>
      <w:bookmarkEnd w:id="87"/>
    </w:p>
    <w:p w:rsidR="00DB4F58" w:rsidRDefault="00DB4F58" w:rsidP="00B13D45">
      <w:pPr>
        <w:jc w:val="both"/>
      </w:pPr>
      <w:r>
        <w:t>Risk management is a key responsibility of management and the accounting officer.  Internal auditors should assist both management and the audit committee by examining, evaluating and reporting on the adequacy and effectiveness of the risk management process.</w:t>
      </w:r>
    </w:p>
    <w:p w:rsidR="00DB4F58" w:rsidRPr="00674F71" w:rsidRDefault="00DB4F58" w:rsidP="00B13D45">
      <w:pPr>
        <w:pStyle w:val="Heading2"/>
        <w:jc w:val="both"/>
        <w:rPr>
          <w:color w:val="auto"/>
        </w:rPr>
      </w:pPr>
      <w:bookmarkStart w:id="88" w:name="_Toc466031781"/>
      <w:bookmarkStart w:id="89" w:name="_Toc466031922"/>
      <w:bookmarkStart w:id="90" w:name="_Toc466032394"/>
      <w:r w:rsidRPr="00674F71">
        <w:rPr>
          <w:color w:val="auto"/>
        </w:rPr>
        <w:t>Risk Management Activities</w:t>
      </w:r>
      <w:bookmarkEnd w:id="88"/>
      <w:bookmarkEnd w:id="89"/>
      <w:bookmarkEnd w:id="90"/>
      <w:r w:rsidRPr="00674F71">
        <w:rPr>
          <w:color w:val="auto"/>
        </w:rPr>
        <w:t xml:space="preserve"> </w:t>
      </w:r>
    </w:p>
    <w:p w:rsidR="00DB4F58" w:rsidRDefault="00DB4F58" w:rsidP="00B13D45">
      <w:pPr>
        <w:jc w:val="both"/>
      </w:pPr>
      <w:r>
        <w:t>Management is responsible for ensuring the establishment of effective risk management in the organisation.  The approach followed provides a mechanism of formalising the responsibility and establishing accountability for management activities.  This is often achieved through the establishment of a “Risk Committee” function.  Its efforts should identify further actions that may be needed to reduce risk to an acceptable level.</w:t>
      </w:r>
    </w:p>
    <w:p w:rsidR="00DB4F58" w:rsidRPr="00674F71" w:rsidRDefault="00DB4F58" w:rsidP="00B13D45">
      <w:pPr>
        <w:pStyle w:val="Heading2"/>
        <w:jc w:val="both"/>
        <w:rPr>
          <w:color w:val="auto"/>
        </w:rPr>
      </w:pPr>
      <w:bookmarkStart w:id="91" w:name="_Toc466031782"/>
      <w:bookmarkStart w:id="92" w:name="_Toc466031923"/>
      <w:bookmarkStart w:id="93" w:name="_Toc466032395"/>
      <w:r w:rsidRPr="00674F71">
        <w:rPr>
          <w:color w:val="auto"/>
        </w:rPr>
        <w:t>Risk Based Planning</w:t>
      </w:r>
      <w:bookmarkEnd w:id="91"/>
      <w:bookmarkEnd w:id="92"/>
      <w:bookmarkEnd w:id="93"/>
    </w:p>
    <w:p w:rsidR="00DB4F58" w:rsidRDefault="00DB4F58" w:rsidP="00B13D45">
      <w:pPr>
        <w:jc w:val="both"/>
      </w:pPr>
      <w:r>
        <w:t>Risk based planning means finding the correct balance of risk based versus cyclical based audits.  This balance depends on the maturity of an organisation’s systems and processes</w:t>
      </w:r>
      <w:r w:rsidR="00CE2D92">
        <w:t>;</w:t>
      </w:r>
      <w:r>
        <w:t xml:space="preserve"> the extent to which policies and procedures and internal controls are entrenched and complied with</w:t>
      </w:r>
      <w:r w:rsidR="00CE2D92">
        <w:t>;</w:t>
      </w:r>
      <w:r>
        <w:t xml:space="preserve"> and</w:t>
      </w:r>
      <w:r w:rsidR="00CE2D92">
        <w:t>,</w:t>
      </w:r>
      <w:r>
        <w:t xml:space="preserve"> the general strength of the wider control environment.  Best practice is that the internal audit activity spends most of its time on risk-based audits, and the rest on cyclical-based audits, follow-up audits and ad hoc requests.</w:t>
      </w:r>
    </w:p>
    <w:p w:rsidR="00DB4F58" w:rsidRPr="00674F71" w:rsidRDefault="00DB4F58" w:rsidP="00B13D45">
      <w:pPr>
        <w:pStyle w:val="Heading2"/>
        <w:jc w:val="both"/>
        <w:rPr>
          <w:color w:val="auto"/>
        </w:rPr>
      </w:pPr>
      <w:bookmarkStart w:id="94" w:name="_Toc466031783"/>
      <w:bookmarkStart w:id="95" w:name="_Toc466031924"/>
      <w:bookmarkStart w:id="96" w:name="_Toc466032396"/>
      <w:r w:rsidRPr="00674F71">
        <w:rPr>
          <w:color w:val="auto"/>
        </w:rPr>
        <w:t>Risk Based Audits</w:t>
      </w:r>
      <w:bookmarkEnd w:id="94"/>
      <w:bookmarkEnd w:id="95"/>
      <w:bookmarkEnd w:id="96"/>
    </w:p>
    <w:p w:rsidR="00DB4F58" w:rsidRDefault="00DB4F58" w:rsidP="00B13D45">
      <w:pPr>
        <w:jc w:val="both"/>
      </w:pPr>
      <w:r>
        <w:t>Given the results from the risk assessments performed (which generally indicate only a satisfactory-to-weak control environment) it may be appropriate for the internal audit activity to focus its attention on the high risk areas, mostly concentrating on ensuring that key controls are in place and adhered to.</w:t>
      </w:r>
    </w:p>
    <w:p w:rsidR="00DB4F58" w:rsidRPr="00674F71" w:rsidRDefault="00DB4F58" w:rsidP="00B13D45">
      <w:pPr>
        <w:pStyle w:val="Heading2"/>
        <w:jc w:val="both"/>
        <w:rPr>
          <w:color w:val="auto"/>
        </w:rPr>
      </w:pPr>
      <w:bookmarkStart w:id="97" w:name="_Toc466031784"/>
      <w:bookmarkStart w:id="98" w:name="_Toc466031925"/>
      <w:bookmarkStart w:id="99" w:name="_Toc466032397"/>
      <w:r w:rsidRPr="00674F71">
        <w:rPr>
          <w:color w:val="auto"/>
        </w:rPr>
        <w:t>Internal Control Processes</w:t>
      </w:r>
      <w:bookmarkEnd w:id="97"/>
      <w:bookmarkEnd w:id="98"/>
      <w:bookmarkEnd w:id="99"/>
    </w:p>
    <w:p w:rsidR="00DB4F58" w:rsidRDefault="00DB4F58" w:rsidP="00B13D45">
      <w:pPr>
        <w:jc w:val="both"/>
      </w:pPr>
      <w:r>
        <w:t>The operation of internal control systems is the responsibility of the relevant line managers.</w:t>
      </w:r>
    </w:p>
    <w:p w:rsidR="00DB4F58" w:rsidRDefault="00DB4F58" w:rsidP="00B13D45">
      <w:pPr>
        <w:jc w:val="both"/>
      </w:pPr>
      <w:r>
        <w:t>The internal audit activity should evaluate the existing controls in terms of their adequacy and effectiveness, assessing the change in the likelihood of any risk materialising, and develop recommendations for their improvement.  Recommendations should always add value, and should be measured against the reduction of the likelihood that a risk can materialise.</w:t>
      </w:r>
    </w:p>
    <w:p w:rsidR="00DB4F58" w:rsidRDefault="00DB4F58" w:rsidP="00B13D45">
      <w:pPr>
        <w:jc w:val="both"/>
      </w:pPr>
      <w:r>
        <w:t>The internal audit activity is a key factor in ensuring that an organisation is effectively managed and that its resources are not misused or misappropriated.</w:t>
      </w:r>
    </w:p>
    <w:p w:rsidR="00DB4F58" w:rsidRDefault="00DB4F58" w:rsidP="00B13D45">
      <w:pPr>
        <w:jc w:val="both"/>
      </w:pPr>
      <w:r>
        <w:t>Internal controls are not limited to financial matters but apply to operations as well.  Essentially, it is a management system, culture and set of values designed to ensure that the organisation is managed efficiently and effectively, with the appropriate policies and procedures that promote the achievement of its overall goals and objectives.</w:t>
      </w:r>
    </w:p>
    <w:p w:rsidR="00DB4F58" w:rsidRPr="00674F71" w:rsidRDefault="00DB4F58" w:rsidP="00B13D45">
      <w:pPr>
        <w:pStyle w:val="Heading2"/>
        <w:jc w:val="both"/>
        <w:rPr>
          <w:color w:val="auto"/>
        </w:rPr>
      </w:pPr>
      <w:bookmarkStart w:id="100" w:name="_Toc466031785"/>
      <w:bookmarkStart w:id="101" w:name="_Toc466031926"/>
      <w:bookmarkStart w:id="102" w:name="_Toc466032398"/>
      <w:r w:rsidRPr="00674F71">
        <w:rPr>
          <w:color w:val="auto"/>
        </w:rPr>
        <w:t>Control Environment and System of Internal Control</w:t>
      </w:r>
      <w:bookmarkEnd w:id="100"/>
      <w:bookmarkEnd w:id="101"/>
      <w:bookmarkEnd w:id="102"/>
      <w:r w:rsidRPr="00674F71">
        <w:rPr>
          <w:color w:val="auto"/>
        </w:rPr>
        <w:t xml:space="preserve"> </w:t>
      </w:r>
    </w:p>
    <w:p w:rsidR="00DB4F58" w:rsidRDefault="00DB4F58" w:rsidP="00B13D45">
      <w:pPr>
        <w:jc w:val="both"/>
      </w:pPr>
      <w:r>
        <w:t>The control environment would include the internal auditor’s responsibility on reporting to the audit committee on the control environment and</w:t>
      </w:r>
      <w:r w:rsidR="00E91FBD">
        <w:t>,</w:t>
      </w:r>
      <w:r>
        <w:t xml:space="preserve"> in return the audit committee’s responsibility </w:t>
      </w:r>
      <w:r w:rsidR="00E91FBD">
        <w:t xml:space="preserve">is </w:t>
      </w:r>
      <w:r>
        <w:t xml:space="preserve">commenting </w:t>
      </w:r>
      <w:r w:rsidR="00CA7020">
        <w:t>on</w:t>
      </w:r>
      <w:r>
        <w:t xml:space="preserve"> the internal controls of the municipality annually.  It would also include the existence and maturity of a combined assurance model and implementation thereof.  Furthermore, if the municipality has formally adopted a control environment and system </w:t>
      </w:r>
      <w:r w:rsidR="00E91FBD">
        <w:t>of</w:t>
      </w:r>
      <w:r>
        <w:t xml:space="preserve"> internal controls this framework will be relevant in light of the mSCOA implementation and conversion/re-implementation.  </w:t>
      </w:r>
    </w:p>
    <w:p w:rsidR="00DB4F58" w:rsidRDefault="00DB4F58" w:rsidP="00B13D45">
      <w:pPr>
        <w:jc w:val="both"/>
      </w:pPr>
      <w:r>
        <w:t>Internal audit activity is an important component of internal control, risk management and corporate governance and provides the necessary assurance and advisory services to the organisation.</w:t>
      </w:r>
    </w:p>
    <w:p w:rsidR="00DB4F58" w:rsidRDefault="00DB4F58" w:rsidP="00B13D45">
      <w:pPr>
        <w:jc w:val="both"/>
      </w:pPr>
      <w:r>
        <w:t>An internal audit activity is one of the most significant management tools and can provide value-added services to the organisation.  When objectively and adequately resourced, an internal audit activity should be in a position to provide management with much of the assurance it requires regarding the effectiveness and adequacy of the system of internal control, risk management and governance processes.</w:t>
      </w:r>
    </w:p>
    <w:p w:rsidR="00DB4F58" w:rsidRDefault="00DB4F58" w:rsidP="00B13D45">
      <w:pPr>
        <w:jc w:val="both"/>
      </w:pPr>
      <w:r>
        <w:t>The internal audit activity must be well planned, organised, staffed, trained, directed and monitored.</w:t>
      </w:r>
    </w:p>
    <w:p w:rsidR="00DB4F58" w:rsidRDefault="00DB4F58" w:rsidP="00B13D45">
      <w:pPr>
        <w:jc w:val="both"/>
      </w:pPr>
      <w:r>
        <w:t>Internal audits must be conducted in accordance with the standards set by the Institute of Internal Auditors (IIA).  These standards, together with the various implementation guides according to the International Professional Practice Framework updates</w:t>
      </w:r>
      <w:r w:rsidR="008E1FBB">
        <w:t>,</w:t>
      </w:r>
      <w:r>
        <w:t xml:space="preserve"> issued by the IIA</w:t>
      </w:r>
      <w:r w:rsidR="00144F2B">
        <w:t>,</w:t>
      </w:r>
      <w:r>
        <w:t xml:space="preserve"> provide much of the guidance required by the internal audit activity for conducting its work.</w:t>
      </w:r>
    </w:p>
    <w:p w:rsidR="00DB4F58" w:rsidRPr="00674F71" w:rsidRDefault="00DB4F58" w:rsidP="00B13D45">
      <w:pPr>
        <w:pStyle w:val="Heading2"/>
        <w:jc w:val="both"/>
        <w:rPr>
          <w:color w:val="auto"/>
        </w:rPr>
      </w:pPr>
      <w:bookmarkStart w:id="103" w:name="_Toc466031786"/>
      <w:bookmarkStart w:id="104" w:name="_Toc466031927"/>
      <w:bookmarkStart w:id="105" w:name="_Toc466032399"/>
      <w:r w:rsidRPr="00674F71">
        <w:rPr>
          <w:color w:val="auto"/>
        </w:rPr>
        <w:t>Roles and Responsibilities of the Audit Committee</w:t>
      </w:r>
      <w:bookmarkEnd w:id="103"/>
      <w:bookmarkEnd w:id="104"/>
      <w:bookmarkEnd w:id="105"/>
    </w:p>
    <w:p w:rsidR="00DB4F58" w:rsidRDefault="00DB4F58" w:rsidP="00B13D45">
      <w:pPr>
        <w:jc w:val="both"/>
      </w:pPr>
      <w:r>
        <w:t>The roles and responsibilities of an audit committee should be determined by the accounting officer in consultation with the external auditor taking into account the following:</w:t>
      </w:r>
    </w:p>
    <w:p w:rsidR="00DB4F58" w:rsidRDefault="00DB4F58" w:rsidP="00B13D45">
      <w:pPr>
        <w:pStyle w:val="ListParagraph"/>
        <w:jc w:val="both"/>
      </w:pPr>
      <w:r>
        <w:t>the organisation’s size, complexity and nature of its business;</w:t>
      </w:r>
    </w:p>
    <w:p w:rsidR="00DB4F58" w:rsidRDefault="00DB4F58" w:rsidP="00B13D45">
      <w:pPr>
        <w:pStyle w:val="ListParagraph"/>
        <w:jc w:val="both"/>
      </w:pPr>
      <w:r>
        <w:t>nature of governance structures;</w:t>
      </w:r>
    </w:p>
    <w:p w:rsidR="00DB4F58" w:rsidRDefault="00DB4F58" w:rsidP="00B13D45">
      <w:pPr>
        <w:pStyle w:val="ListParagraph"/>
        <w:jc w:val="both"/>
      </w:pPr>
      <w:r>
        <w:t>maturity of organisation’s risk and control environment;</w:t>
      </w:r>
    </w:p>
    <w:p w:rsidR="00DB4F58" w:rsidRDefault="00DB4F58" w:rsidP="00B13D45">
      <w:pPr>
        <w:pStyle w:val="ListParagraph"/>
        <w:jc w:val="both"/>
      </w:pPr>
      <w:r>
        <w:t>skills, experience and personal qualities of potential members; and</w:t>
      </w:r>
    </w:p>
    <w:p w:rsidR="00DB4F58" w:rsidRDefault="00DB4F58" w:rsidP="00B13D45">
      <w:pPr>
        <w:pStyle w:val="ListParagraph"/>
        <w:jc w:val="both"/>
      </w:pPr>
      <w:proofErr w:type="gramStart"/>
      <w:r>
        <w:t>mechanisms</w:t>
      </w:r>
      <w:proofErr w:type="gramEnd"/>
      <w:r>
        <w:t xml:space="preserve"> and processes which need to be established to enable the audit committee to meet its responsibilities.</w:t>
      </w:r>
    </w:p>
    <w:p w:rsidR="00DB4F58" w:rsidRPr="00674F71" w:rsidRDefault="00DB4F58" w:rsidP="00B13D45">
      <w:pPr>
        <w:pStyle w:val="Heading2"/>
        <w:jc w:val="both"/>
        <w:rPr>
          <w:color w:val="auto"/>
        </w:rPr>
      </w:pPr>
      <w:bookmarkStart w:id="106" w:name="_Toc466031787"/>
      <w:bookmarkStart w:id="107" w:name="_Toc466031928"/>
      <w:bookmarkStart w:id="108" w:name="_Toc466032400"/>
      <w:r w:rsidRPr="00674F71">
        <w:rPr>
          <w:color w:val="auto"/>
        </w:rPr>
        <w:t>Relationship with the Office of the Auditor- General/External Auditors</w:t>
      </w:r>
      <w:bookmarkEnd w:id="106"/>
      <w:bookmarkEnd w:id="107"/>
      <w:bookmarkEnd w:id="108"/>
    </w:p>
    <w:p w:rsidR="00DB4F58" w:rsidRDefault="00DB4F58" w:rsidP="00B13D45">
      <w:pPr>
        <w:jc w:val="both"/>
      </w:pPr>
      <w:r>
        <w:t>In terms of the International Standards for the Professional Practice of Internal Audit (ISPPIA) the internal audit activity should share information and co-ordinate its activities with those of the internal and external providers of assurance and consulting services.  This is done to ensure appropriate coverage of risk areas and minimise duplication of efforts.</w:t>
      </w:r>
    </w:p>
    <w:p w:rsidR="00DB4F58" w:rsidRDefault="00DB4F58" w:rsidP="00B13D45">
      <w:pPr>
        <w:jc w:val="both"/>
      </w:pPr>
      <w:r>
        <w:t xml:space="preserve">There should be mutual access </w:t>
      </w:r>
      <w:r w:rsidR="008C2F0B">
        <w:t>to audit</w:t>
      </w:r>
      <w:r>
        <w:t xml:space="preserve"> plans and programs, as well as audit reports</w:t>
      </w:r>
      <w:r w:rsidRPr="00BC2883">
        <w:rPr>
          <w:sz w:val="12"/>
          <w:szCs w:val="12"/>
        </w:rPr>
        <w:t xml:space="preserve">. </w:t>
      </w:r>
      <w:r>
        <w:rPr>
          <w:sz w:val="12"/>
          <w:szCs w:val="12"/>
        </w:rPr>
        <w:t xml:space="preserve"> </w:t>
      </w:r>
      <w:r w:rsidRPr="00BC2883">
        <w:rPr>
          <w:sz w:val="12"/>
          <w:szCs w:val="12"/>
        </w:rPr>
        <w:t xml:space="preserve"> </w:t>
      </w:r>
      <w:r>
        <w:t>It is recommended that periodic meetings be held between the internal audit activity and external audit.  At these meetings key risks should be discussed, audit scopes should be shared, priorities should be emphasised and findings should be discussed.</w:t>
      </w:r>
    </w:p>
    <w:p w:rsidR="00DB4F58" w:rsidRDefault="00DB4F58" w:rsidP="00B13D45">
      <w:pPr>
        <w:jc w:val="both"/>
      </w:pPr>
      <w:r>
        <w:t>The internal audit activity can assist external auditors obtain an in-depth level of understanding of the audit client’s business.  The external auditors are mainly concerned with the fair presentation of the organisation’s financial statements.</w:t>
      </w:r>
    </w:p>
    <w:p w:rsidR="00DB4F58" w:rsidRDefault="00DB4F58" w:rsidP="00B13D45">
      <w:pPr>
        <w:jc w:val="both"/>
      </w:pPr>
      <w:r>
        <w:t xml:space="preserve">In terms of the ISPPIA the internal audit activity should share information and co-ordinate its activities with those of the internal and external providers of assurance and consulting services.  This is done to ensure appropriate coverage of risk areas and minimise exposure.  Further to this the impact of co-ordination efforts provides combined assurance to the audit committee and council.  </w:t>
      </w:r>
    </w:p>
    <w:p w:rsidR="007579B1" w:rsidRDefault="007579B1" w:rsidP="00B13D45">
      <w:pPr>
        <w:pStyle w:val="Heading1"/>
        <w:spacing w:before="360" w:after="360"/>
        <w:jc w:val="both"/>
        <w:sectPr w:rsidR="007579B1" w:rsidSect="00F8558A">
          <w:pgSz w:w="11906" w:h="16838"/>
          <w:pgMar w:top="1440" w:right="1440" w:bottom="794" w:left="1440" w:header="709" w:footer="709" w:gutter="0"/>
          <w:cols w:space="708"/>
          <w:docGrid w:linePitch="381"/>
        </w:sectPr>
      </w:pPr>
      <w:bookmarkStart w:id="109" w:name="_Toc456353332"/>
    </w:p>
    <w:p w:rsidR="007579B1" w:rsidRPr="00674F71" w:rsidRDefault="007579B1" w:rsidP="00674F71">
      <w:pPr>
        <w:pStyle w:val="Heading2"/>
        <w:keepNext w:val="0"/>
        <w:keepLines w:val="0"/>
        <w:suppressAutoHyphens/>
        <w:autoSpaceDN w:val="0"/>
        <w:spacing w:before="240" w:after="240"/>
        <w:ind w:left="284" w:right="0" w:hanging="284"/>
        <w:textAlignment w:val="baseline"/>
        <w:rPr>
          <w:rFonts w:ascii="Arial" w:eastAsia="MS Mincho" w:hAnsi="Arial" w:cs="Arial"/>
          <w:bCs w:val="0"/>
          <w:color w:val="auto"/>
          <w:szCs w:val="24"/>
          <w:lang w:eastAsia="en-ZA"/>
        </w:rPr>
      </w:pPr>
      <w:bookmarkStart w:id="110" w:name="_Toc466031788"/>
      <w:bookmarkStart w:id="111" w:name="_Toc466031929"/>
      <w:bookmarkStart w:id="112" w:name="_Toc466032401"/>
      <w:r w:rsidRPr="00674F71">
        <w:rPr>
          <w:rFonts w:ascii="Arial" w:eastAsia="MS Mincho" w:hAnsi="Arial" w:cs="Arial"/>
          <w:bCs w:val="0"/>
          <w:color w:val="auto"/>
          <w:szCs w:val="24"/>
          <w:lang w:eastAsia="en-ZA"/>
        </w:rPr>
        <w:t>ANNEXURE C: COMMENTS AND QUERIES RECEIVED INFORMING THE PROBLEM STATEMENT</w:t>
      </w:r>
      <w:bookmarkEnd w:id="109"/>
      <w:bookmarkEnd w:id="110"/>
      <w:bookmarkEnd w:id="111"/>
      <w:bookmarkEnd w:id="112"/>
    </w:p>
    <w:tbl>
      <w:tblPr>
        <w:tblW w:w="5085" w:type="pct"/>
        <w:tblBorders>
          <w:top w:val="single" w:sz="4" w:space="0" w:color="8797C3"/>
          <w:left w:val="single" w:sz="4" w:space="0" w:color="8797C3"/>
          <w:bottom w:val="single" w:sz="4" w:space="0" w:color="8797C3"/>
          <w:right w:val="single" w:sz="4" w:space="0" w:color="8797C3"/>
          <w:insideH w:val="single" w:sz="4" w:space="0" w:color="8797C3"/>
        </w:tblBorders>
        <w:tblLook w:val="04A0" w:firstRow="1" w:lastRow="0" w:firstColumn="1" w:lastColumn="0" w:noHBand="0" w:noVBand="1"/>
      </w:tblPr>
      <w:tblGrid>
        <w:gridCol w:w="1929"/>
        <w:gridCol w:w="2267"/>
        <w:gridCol w:w="1759"/>
        <w:gridCol w:w="4409"/>
        <w:gridCol w:w="3821"/>
      </w:tblGrid>
      <w:tr w:rsidR="000130E6" w:rsidRPr="007E067D" w:rsidTr="00674F71">
        <w:trPr>
          <w:tblHeader/>
        </w:trPr>
        <w:tc>
          <w:tcPr>
            <w:tcW w:w="680" w:type="pct"/>
            <w:tcBorders>
              <w:top w:val="single" w:sz="4" w:space="0" w:color="475A8D"/>
              <w:left w:val="single" w:sz="4" w:space="0" w:color="475A8D"/>
              <w:bottom w:val="single" w:sz="4" w:space="0" w:color="475A8D"/>
            </w:tcBorders>
            <w:shd w:val="clear" w:color="auto" w:fill="C00000"/>
          </w:tcPr>
          <w:p w:rsidR="007579B1" w:rsidRPr="007E067D" w:rsidRDefault="007579B1" w:rsidP="007E067D">
            <w:pPr>
              <w:numPr>
                <w:ilvl w:val="0"/>
                <w:numId w:val="0"/>
              </w:numPr>
              <w:spacing w:before="120" w:after="120"/>
              <w:ind w:right="0"/>
              <w:jc w:val="both"/>
              <w:rPr>
                <w:b/>
                <w:bCs/>
                <w:color w:val="FFFFFF"/>
              </w:rPr>
            </w:pPr>
            <w:r w:rsidRPr="007E067D">
              <w:rPr>
                <w:b/>
                <w:bCs/>
                <w:color w:val="FFFFFF"/>
              </w:rPr>
              <w:t>Reference / Date</w:t>
            </w:r>
          </w:p>
        </w:tc>
        <w:tc>
          <w:tcPr>
            <w:tcW w:w="799" w:type="pct"/>
            <w:tcBorders>
              <w:top w:val="single" w:sz="4" w:space="0" w:color="475A8D"/>
              <w:bottom w:val="single" w:sz="4" w:space="0" w:color="475A8D"/>
            </w:tcBorders>
            <w:shd w:val="clear" w:color="auto" w:fill="C00000"/>
          </w:tcPr>
          <w:p w:rsidR="007579B1" w:rsidRPr="007E067D" w:rsidRDefault="007579B1" w:rsidP="007E067D">
            <w:pPr>
              <w:numPr>
                <w:ilvl w:val="0"/>
                <w:numId w:val="0"/>
              </w:numPr>
              <w:spacing w:before="120" w:after="120"/>
              <w:ind w:right="0"/>
              <w:jc w:val="both"/>
              <w:rPr>
                <w:b/>
                <w:bCs/>
                <w:color w:val="FFFFFF"/>
              </w:rPr>
            </w:pPr>
            <w:r w:rsidRPr="007E067D">
              <w:rPr>
                <w:b/>
                <w:bCs/>
                <w:color w:val="FFFFFF"/>
              </w:rPr>
              <w:t>From</w:t>
            </w:r>
          </w:p>
        </w:tc>
        <w:tc>
          <w:tcPr>
            <w:tcW w:w="620" w:type="pct"/>
            <w:tcBorders>
              <w:top w:val="single" w:sz="4" w:space="0" w:color="475A8D"/>
              <w:bottom w:val="single" w:sz="4" w:space="0" w:color="475A8D"/>
            </w:tcBorders>
            <w:shd w:val="clear" w:color="auto" w:fill="C00000"/>
          </w:tcPr>
          <w:p w:rsidR="007579B1" w:rsidRPr="007E067D" w:rsidRDefault="007579B1" w:rsidP="007E067D">
            <w:pPr>
              <w:numPr>
                <w:ilvl w:val="0"/>
                <w:numId w:val="0"/>
              </w:numPr>
              <w:spacing w:before="120" w:after="120"/>
              <w:jc w:val="both"/>
              <w:rPr>
                <w:b/>
                <w:bCs/>
                <w:color w:val="FFFFFF"/>
              </w:rPr>
            </w:pPr>
            <w:r w:rsidRPr="007E067D">
              <w:rPr>
                <w:b/>
                <w:bCs/>
                <w:color w:val="FFFFFF"/>
              </w:rPr>
              <w:t>Number</w:t>
            </w:r>
          </w:p>
        </w:tc>
        <w:tc>
          <w:tcPr>
            <w:tcW w:w="1554" w:type="pct"/>
            <w:tcBorders>
              <w:top w:val="single" w:sz="4" w:space="0" w:color="475A8D"/>
              <w:bottom w:val="single" w:sz="4" w:space="0" w:color="475A8D"/>
            </w:tcBorders>
            <w:shd w:val="clear" w:color="auto" w:fill="C00000"/>
          </w:tcPr>
          <w:p w:rsidR="007579B1" w:rsidRPr="007E067D" w:rsidRDefault="007579B1" w:rsidP="007E067D">
            <w:pPr>
              <w:numPr>
                <w:ilvl w:val="0"/>
                <w:numId w:val="0"/>
              </w:numPr>
              <w:spacing w:before="120" w:after="120"/>
              <w:jc w:val="both"/>
              <w:rPr>
                <w:b/>
                <w:bCs/>
                <w:color w:val="FFFFFF"/>
              </w:rPr>
            </w:pPr>
            <w:r w:rsidRPr="007E067D">
              <w:rPr>
                <w:b/>
                <w:bCs/>
                <w:color w:val="FFFFFF"/>
              </w:rPr>
              <w:t>Query</w:t>
            </w:r>
          </w:p>
        </w:tc>
        <w:tc>
          <w:tcPr>
            <w:tcW w:w="1347" w:type="pct"/>
            <w:tcBorders>
              <w:top w:val="single" w:sz="4" w:space="0" w:color="475A8D"/>
              <w:bottom w:val="single" w:sz="4" w:space="0" w:color="475A8D"/>
              <w:right w:val="single" w:sz="4" w:space="0" w:color="475A8D"/>
            </w:tcBorders>
            <w:shd w:val="clear" w:color="auto" w:fill="C00000"/>
          </w:tcPr>
          <w:p w:rsidR="007579B1" w:rsidRPr="007E067D" w:rsidRDefault="007579B1" w:rsidP="007E067D">
            <w:pPr>
              <w:numPr>
                <w:ilvl w:val="0"/>
                <w:numId w:val="0"/>
              </w:numPr>
              <w:spacing w:before="120" w:after="120"/>
              <w:jc w:val="both"/>
              <w:rPr>
                <w:b/>
                <w:bCs/>
                <w:color w:val="FFFFFF"/>
              </w:rPr>
            </w:pPr>
            <w:r w:rsidRPr="007E067D">
              <w:rPr>
                <w:b/>
                <w:bCs/>
                <w:color w:val="FFFFFF"/>
              </w:rPr>
              <w:t>Response</w:t>
            </w:r>
          </w:p>
        </w:tc>
      </w:tr>
      <w:tr w:rsidR="000130E6" w:rsidRPr="007E067D" w:rsidTr="00674F71">
        <w:tc>
          <w:tcPr>
            <w:tcW w:w="680" w:type="pct"/>
            <w:vMerge w:val="restart"/>
            <w:shd w:val="clear" w:color="auto" w:fill="FFCCCC"/>
          </w:tcPr>
          <w:p w:rsidR="00673D62" w:rsidRPr="007E067D" w:rsidRDefault="00673D62" w:rsidP="007E067D">
            <w:pPr>
              <w:numPr>
                <w:ilvl w:val="0"/>
                <w:numId w:val="0"/>
              </w:numPr>
              <w:spacing w:before="120" w:after="120"/>
              <w:jc w:val="both"/>
              <w:rPr>
                <w:b/>
                <w:bCs/>
              </w:rPr>
            </w:pPr>
            <w:r w:rsidRPr="007E067D">
              <w:rPr>
                <w:b/>
                <w:bCs/>
              </w:rPr>
              <w:t>Email Query</w:t>
            </w:r>
          </w:p>
        </w:tc>
        <w:tc>
          <w:tcPr>
            <w:tcW w:w="799" w:type="pct"/>
            <w:vMerge w:val="restart"/>
            <w:shd w:val="clear" w:color="auto" w:fill="FFCCCC"/>
          </w:tcPr>
          <w:p w:rsidR="00673D62" w:rsidRPr="007E067D" w:rsidRDefault="00673D62" w:rsidP="007E067D">
            <w:pPr>
              <w:numPr>
                <w:ilvl w:val="0"/>
                <w:numId w:val="0"/>
              </w:numPr>
              <w:spacing w:before="120" w:after="120"/>
              <w:ind w:right="0"/>
              <w:jc w:val="both"/>
            </w:pPr>
            <w:r w:rsidRPr="007E067D">
              <w:t>Hugo van Aarde</w:t>
            </w:r>
          </w:p>
          <w:p w:rsidR="00673D62" w:rsidRPr="007E067D" w:rsidRDefault="00673D62" w:rsidP="007E067D">
            <w:pPr>
              <w:numPr>
                <w:ilvl w:val="0"/>
                <w:numId w:val="0"/>
              </w:numPr>
              <w:spacing w:before="120" w:after="120"/>
              <w:ind w:right="0"/>
              <w:jc w:val="both"/>
            </w:pPr>
            <w:r w:rsidRPr="007E067D">
              <w:t>Sebata</w:t>
            </w:r>
          </w:p>
        </w:tc>
        <w:tc>
          <w:tcPr>
            <w:tcW w:w="620" w:type="pct"/>
            <w:shd w:val="clear" w:color="auto" w:fill="FFCCCC"/>
          </w:tcPr>
          <w:p w:rsidR="00673D62" w:rsidRPr="007E067D" w:rsidRDefault="00673D62" w:rsidP="007E067D">
            <w:pPr>
              <w:numPr>
                <w:ilvl w:val="0"/>
                <w:numId w:val="0"/>
              </w:numPr>
              <w:spacing w:before="120" w:after="120"/>
              <w:jc w:val="both"/>
            </w:pPr>
          </w:p>
        </w:tc>
        <w:tc>
          <w:tcPr>
            <w:tcW w:w="1554" w:type="pct"/>
            <w:shd w:val="clear" w:color="auto" w:fill="FFCCCC"/>
          </w:tcPr>
          <w:p w:rsidR="00673D62" w:rsidRPr="007E067D" w:rsidRDefault="00673D62" w:rsidP="007E067D">
            <w:pPr>
              <w:pStyle w:val="CommentText"/>
              <w:numPr>
                <w:ilvl w:val="0"/>
                <w:numId w:val="0"/>
              </w:numPr>
              <w:spacing w:before="120" w:after="120"/>
              <w:ind w:right="0"/>
              <w:jc w:val="both"/>
            </w:pPr>
            <w:r w:rsidRPr="007E067D">
              <w:t>The document is comprehensive.  The following is my concerns: -</w:t>
            </w:r>
          </w:p>
        </w:tc>
        <w:tc>
          <w:tcPr>
            <w:tcW w:w="1347" w:type="pct"/>
            <w:shd w:val="clear" w:color="auto" w:fill="FFCCCC"/>
          </w:tcPr>
          <w:p w:rsidR="00673D62" w:rsidRPr="007E067D" w:rsidRDefault="00673D62" w:rsidP="007E067D">
            <w:pPr>
              <w:numPr>
                <w:ilvl w:val="0"/>
                <w:numId w:val="0"/>
              </w:numPr>
              <w:spacing w:before="120" w:after="120"/>
              <w:jc w:val="both"/>
            </w:pPr>
            <w:r w:rsidRPr="007E067D">
              <w:t>Comment Noted</w:t>
            </w:r>
          </w:p>
        </w:tc>
      </w:tr>
      <w:tr w:rsidR="000130E6" w:rsidRPr="007E067D" w:rsidTr="00674F71">
        <w:tc>
          <w:tcPr>
            <w:tcW w:w="680" w:type="pct"/>
            <w:vMerge/>
            <w:shd w:val="clear" w:color="auto" w:fill="FFCCCC"/>
          </w:tcPr>
          <w:p w:rsidR="00673D62" w:rsidRPr="007E067D" w:rsidRDefault="00673D62" w:rsidP="007E067D">
            <w:pPr>
              <w:numPr>
                <w:ilvl w:val="0"/>
                <w:numId w:val="0"/>
              </w:numPr>
              <w:spacing w:before="120" w:after="120"/>
              <w:jc w:val="both"/>
              <w:rPr>
                <w:b/>
                <w:bCs/>
              </w:rPr>
            </w:pPr>
          </w:p>
        </w:tc>
        <w:tc>
          <w:tcPr>
            <w:tcW w:w="799" w:type="pct"/>
            <w:vMerge/>
            <w:shd w:val="clear" w:color="auto" w:fill="FFCCCC"/>
          </w:tcPr>
          <w:p w:rsidR="00673D62" w:rsidRPr="007E067D" w:rsidRDefault="00673D62" w:rsidP="007E067D">
            <w:pPr>
              <w:numPr>
                <w:ilvl w:val="0"/>
                <w:numId w:val="0"/>
              </w:numPr>
              <w:spacing w:before="120" w:after="120"/>
              <w:ind w:right="0"/>
              <w:jc w:val="both"/>
            </w:pPr>
          </w:p>
        </w:tc>
        <w:tc>
          <w:tcPr>
            <w:tcW w:w="620" w:type="pct"/>
            <w:shd w:val="clear" w:color="auto" w:fill="auto"/>
          </w:tcPr>
          <w:p w:rsidR="00673D62" w:rsidRPr="007E067D" w:rsidRDefault="00673D62" w:rsidP="007E067D">
            <w:pPr>
              <w:numPr>
                <w:ilvl w:val="0"/>
                <w:numId w:val="0"/>
              </w:numPr>
              <w:spacing w:before="120" w:after="120"/>
              <w:jc w:val="both"/>
            </w:pPr>
          </w:p>
        </w:tc>
        <w:tc>
          <w:tcPr>
            <w:tcW w:w="1554" w:type="pct"/>
            <w:shd w:val="clear" w:color="auto" w:fill="auto"/>
          </w:tcPr>
          <w:p w:rsidR="00673D62" w:rsidRPr="007E067D" w:rsidRDefault="00673D62" w:rsidP="007E067D">
            <w:pPr>
              <w:pStyle w:val="CommentText"/>
              <w:numPr>
                <w:ilvl w:val="0"/>
                <w:numId w:val="0"/>
              </w:numPr>
              <w:spacing w:before="120" w:after="120"/>
              <w:ind w:right="0"/>
              <w:jc w:val="both"/>
            </w:pPr>
            <w:r w:rsidRPr="007E067D">
              <w:t xml:space="preserve">What happens if the municipality does not have an internal function or do not have the capacity within the internal audit function to perform this function in accordance with the position paper.  </w:t>
            </w:r>
          </w:p>
        </w:tc>
        <w:tc>
          <w:tcPr>
            <w:tcW w:w="1347" w:type="pct"/>
            <w:shd w:val="clear" w:color="auto" w:fill="auto"/>
          </w:tcPr>
          <w:p w:rsidR="00673D62" w:rsidRPr="007E067D" w:rsidRDefault="00673D62" w:rsidP="007E067D">
            <w:pPr>
              <w:numPr>
                <w:ilvl w:val="0"/>
                <w:numId w:val="0"/>
              </w:numPr>
              <w:spacing w:before="120" w:after="120"/>
              <w:jc w:val="both"/>
            </w:pPr>
            <w:r w:rsidRPr="007E067D">
              <w:t xml:space="preserve">Paragraph 10 of this Position Paper has reference.  </w:t>
            </w:r>
            <w:r w:rsidR="00962B1C" w:rsidRPr="007E067D">
              <w:t>It is non</w:t>
            </w:r>
            <w:r w:rsidRPr="007E067D">
              <w:t>-compliance to the Municipal Finance Management Act, No</w:t>
            </w:r>
            <w:r w:rsidR="00BD4075" w:rsidRPr="007E067D">
              <w:t>.</w:t>
            </w:r>
            <w:r w:rsidRPr="007E067D">
              <w:t>56 of 2003 not to have an internal audit unit.</w:t>
            </w:r>
          </w:p>
          <w:p w:rsidR="00673D62" w:rsidRPr="007E067D" w:rsidRDefault="00673D62" w:rsidP="007E067D">
            <w:pPr>
              <w:numPr>
                <w:ilvl w:val="0"/>
                <w:numId w:val="0"/>
              </w:numPr>
              <w:spacing w:before="120" w:after="120"/>
              <w:jc w:val="both"/>
            </w:pPr>
            <w:r w:rsidRPr="007E067D">
              <w:t xml:space="preserve">The internal audit unit is an essential </w:t>
            </w:r>
            <w:r w:rsidR="001A46F5" w:rsidRPr="007E067D">
              <w:t>contribution</w:t>
            </w:r>
            <w:r w:rsidRPr="007E067D">
              <w:t xml:space="preserve"> in the internal controls instituted by the municipalities.  As such the role of the internal audit function as explained in this Position Paper will be part of the municipalities risk management activities.  </w:t>
            </w:r>
          </w:p>
          <w:p w:rsidR="00673D62" w:rsidRPr="007E067D" w:rsidRDefault="00673D62" w:rsidP="007E067D">
            <w:pPr>
              <w:numPr>
                <w:ilvl w:val="0"/>
                <w:numId w:val="0"/>
              </w:numPr>
              <w:spacing w:before="120" w:after="120"/>
              <w:jc w:val="both"/>
            </w:pPr>
            <w:r w:rsidRPr="007E067D">
              <w:t xml:space="preserve">Not having the capacity will result in the risks </w:t>
            </w:r>
            <w:r w:rsidR="001A46F5" w:rsidRPr="007E067D">
              <w:t>associated</w:t>
            </w:r>
            <w:r w:rsidRPr="007E067D">
              <w:t xml:space="preserve"> with the implementation of mSCOA not being sufficiently addressed by the governance structures of the municipalities.  </w:t>
            </w:r>
          </w:p>
          <w:p w:rsidR="00673D62" w:rsidRPr="007E067D" w:rsidRDefault="00673D62" w:rsidP="007E067D">
            <w:pPr>
              <w:numPr>
                <w:ilvl w:val="0"/>
                <w:numId w:val="0"/>
              </w:numPr>
              <w:spacing w:before="120" w:after="120"/>
              <w:jc w:val="both"/>
            </w:pPr>
            <w:r w:rsidRPr="007E067D">
              <w:t xml:space="preserve">The involvement of internal audit is adding a preventative control measure to the control environment inherent to the municipality.  The absence thereof increases the organisational risk taken by the municipality.  </w:t>
            </w:r>
          </w:p>
        </w:tc>
      </w:tr>
      <w:tr w:rsidR="000130E6" w:rsidRPr="007E067D" w:rsidTr="00674F71">
        <w:tc>
          <w:tcPr>
            <w:tcW w:w="680" w:type="pct"/>
            <w:vMerge/>
            <w:shd w:val="clear" w:color="auto" w:fill="FFCCCC"/>
          </w:tcPr>
          <w:p w:rsidR="00673D62" w:rsidRPr="007E067D" w:rsidRDefault="00673D62" w:rsidP="007E067D">
            <w:pPr>
              <w:numPr>
                <w:ilvl w:val="0"/>
                <w:numId w:val="0"/>
              </w:numPr>
              <w:spacing w:before="120" w:after="120"/>
              <w:jc w:val="both"/>
              <w:rPr>
                <w:b/>
                <w:bCs/>
              </w:rPr>
            </w:pPr>
          </w:p>
        </w:tc>
        <w:tc>
          <w:tcPr>
            <w:tcW w:w="799" w:type="pct"/>
            <w:vMerge/>
            <w:shd w:val="clear" w:color="auto" w:fill="FFCCCC"/>
          </w:tcPr>
          <w:p w:rsidR="00673D62" w:rsidRPr="007E067D" w:rsidRDefault="00673D62" w:rsidP="007E067D">
            <w:pPr>
              <w:numPr>
                <w:ilvl w:val="0"/>
                <w:numId w:val="0"/>
              </w:numPr>
              <w:spacing w:before="120" w:after="120"/>
              <w:ind w:right="0"/>
              <w:jc w:val="both"/>
            </w:pPr>
          </w:p>
        </w:tc>
        <w:tc>
          <w:tcPr>
            <w:tcW w:w="620" w:type="pct"/>
            <w:shd w:val="clear" w:color="auto" w:fill="FFCCCC"/>
          </w:tcPr>
          <w:p w:rsidR="00673D62" w:rsidRPr="007E067D" w:rsidRDefault="00673D62" w:rsidP="007E067D">
            <w:pPr>
              <w:numPr>
                <w:ilvl w:val="0"/>
                <w:numId w:val="0"/>
              </w:numPr>
              <w:spacing w:before="120" w:after="120"/>
              <w:jc w:val="both"/>
            </w:pPr>
          </w:p>
        </w:tc>
        <w:tc>
          <w:tcPr>
            <w:tcW w:w="1554" w:type="pct"/>
            <w:shd w:val="clear" w:color="auto" w:fill="FFCCCC"/>
          </w:tcPr>
          <w:p w:rsidR="00673D62" w:rsidRPr="007E067D" w:rsidRDefault="00673D62" w:rsidP="007E067D">
            <w:pPr>
              <w:pStyle w:val="CommentText"/>
              <w:numPr>
                <w:ilvl w:val="0"/>
                <w:numId w:val="0"/>
              </w:numPr>
              <w:spacing w:before="120" w:after="120"/>
              <w:ind w:right="0"/>
              <w:jc w:val="both"/>
            </w:pPr>
            <w:r w:rsidRPr="007E067D">
              <w:t xml:space="preserve">What happens if there is an external auditing firm performing the internal auditing </w:t>
            </w:r>
            <w:proofErr w:type="gramStart"/>
            <w:r w:rsidRPr="007E067D">
              <w:t>function.</w:t>
            </w:r>
            <w:proofErr w:type="gramEnd"/>
            <w:r w:rsidRPr="007E067D">
              <w:t xml:space="preserve">  </w:t>
            </w:r>
          </w:p>
        </w:tc>
        <w:tc>
          <w:tcPr>
            <w:tcW w:w="1347" w:type="pct"/>
            <w:shd w:val="clear" w:color="auto" w:fill="FFCCCC"/>
          </w:tcPr>
          <w:p w:rsidR="00673D62" w:rsidRPr="007E067D" w:rsidRDefault="00673D62" w:rsidP="007E067D">
            <w:pPr>
              <w:numPr>
                <w:ilvl w:val="0"/>
                <w:numId w:val="0"/>
              </w:numPr>
              <w:spacing w:before="120" w:after="120"/>
              <w:jc w:val="both"/>
            </w:pPr>
            <w:r w:rsidRPr="007E067D">
              <w:t>Does not matter if the internal audit function is performed in-house, outsourced or co-sourced.  The consideration addressed in this position paper need to</w:t>
            </w:r>
            <w:r w:rsidR="001F0105" w:rsidRPr="007E067D">
              <w:t xml:space="preserve"> be</w:t>
            </w:r>
            <w:r w:rsidRPr="007E067D">
              <w:t xml:space="preserve"> scoped into the annual audit plan.</w:t>
            </w:r>
          </w:p>
        </w:tc>
      </w:tr>
      <w:tr w:rsidR="000130E6" w:rsidRPr="007E067D" w:rsidTr="00674F71">
        <w:tc>
          <w:tcPr>
            <w:tcW w:w="680" w:type="pct"/>
            <w:vMerge/>
            <w:shd w:val="clear" w:color="auto" w:fill="FFCCCC"/>
          </w:tcPr>
          <w:p w:rsidR="00673D62" w:rsidRPr="007E067D" w:rsidRDefault="00673D62" w:rsidP="007E067D">
            <w:pPr>
              <w:numPr>
                <w:ilvl w:val="0"/>
                <w:numId w:val="0"/>
              </w:numPr>
              <w:spacing w:before="120" w:after="120"/>
              <w:jc w:val="both"/>
              <w:rPr>
                <w:b/>
                <w:bCs/>
              </w:rPr>
            </w:pPr>
          </w:p>
        </w:tc>
        <w:tc>
          <w:tcPr>
            <w:tcW w:w="799" w:type="pct"/>
            <w:vMerge/>
            <w:shd w:val="clear" w:color="auto" w:fill="FFCCCC"/>
          </w:tcPr>
          <w:p w:rsidR="00673D62" w:rsidRPr="007E067D" w:rsidRDefault="00673D62" w:rsidP="007E067D">
            <w:pPr>
              <w:numPr>
                <w:ilvl w:val="0"/>
                <w:numId w:val="0"/>
              </w:numPr>
              <w:spacing w:before="120" w:after="120"/>
              <w:ind w:right="0"/>
              <w:jc w:val="both"/>
            </w:pPr>
          </w:p>
        </w:tc>
        <w:tc>
          <w:tcPr>
            <w:tcW w:w="620" w:type="pct"/>
            <w:shd w:val="clear" w:color="auto" w:fill="auto"/>
          </w:tcPr>
          <w:p w:rsidR="00673D62" w:rsidRPr="007E067D" w:rsidRDefault="00673D62" w:rsidP="007E067D">
            <w:pPr>
              <w:numPr>
                <w:ilvl w:val="0"/>
                <w:numId w:val="0"/>
              </w:numPr>
              <w:spacing w:before="120" w:after="120"/>
              <w:jc w:val="both"/>
            </w:pPr>
          </w:p>
        </w:tc>
        <w:tc>
          <w:tcPr>
            <w:tcW w:w="1554" w:type="pct"/>
            <w:shd w:val="clear" w:color="auto" w:fill="auto"/>
          </w:tcPr>
          <w:p w:rsidR="00673D62" w:rsidRPr="007E067D" w:rsidRDefault="00673D62" w:rsidP="007E067D">
            <w:pPr>
              <w:pStyle w:val="CommentText"/>
              <w:numPr>
                <w:ilvl w:val="0"/>
                <w:numId w:val="0"/>
              </w:numPr>
              <w:spacing w:before="120" w:after="120"/>
              <w:ind w:right="0"/>
              <w:jc w:val="both"/>
            </w:pPr>
            <w:r w:rsidRPr="007E067D">
              <w:t>My problem is what if the service provider wants to protect their IP and the external audit capacity within the internal audit function is not allowed access to the systems for the sake of IP protection.  Should this be an issue?</w:t>
            </w:r>
          </w:p>
          <w:p w:rsidR="00673D62" w:rsidRPr="007E067D" w:rsidRDefault="00673D62" w:rsidP="007E067D">
            <w:pPr>
              <w:numPr>
                <w:ilvl w:val="0"/>
                <w:numId w:val="0"/>
              </w:numPr>
              <w:spacing w:before="120" w:after="120"/>
              <w:jc w:val="both"/>
            </w:pPr>
          </w:p>
        </w:tc>
        <w:tc>
          <w:tcPr>
            <w:tcW w:w="1347" w:type="pct"/>
            <w:shd w:val="clear" w:color="auto" w:fill="auto"/>
          </w:tcPr>
          <w:p w:rsidR="00673D62" w:rsidRPr="007E067D" w:rsidRDefault="00673D62" w:rsidP="007E067D">
            <w:pPr>
              <w:numPr>
                <w:ilvl w:val="0"/>
                <w:numId w:val="0"/>
              </w:numPr>
              <w:spacing w:before="120" w:after="120"/>
              <w:jc w:val="both"/>
            </w:pPr>
            <w:r w:rsidRPr="007E067D">
              <w:t>Yes, this will pose a problem.  Limitation placed on allowing access to external auditors in their capacity as internal auditors will place a scope limitation on the scope of work performed by the auditors.  The content of this Position Paper certainly does not expose the system vendor to any risks from an intellectual property perspective.</w:t>
            </w:r>
          </w:p>
        </w:tc>
      </w:tr>
      <w:tr w:rsidR="000130E6" w:rsidRPr="007E067D" w:rsidTr="00674F71">
        <w:tc>
          <w:tcPr>
            <w:tcW w:w="680" w:type="pct"/>
            <w:shd w:val="clear" w:color="auto" w:fill="FFCCCC"/>
          </w:tcPr>
          <w:p w:rsidR="007579B1" w:rsidRPr="007E067D" w:rsidRDefault="00853DBE" w:rsidP="007E067D">
            <w:pPr>
              <w:numPr>
                <w:ilvl w:val="0"/>
                <w:numId w:val="0"/>
              </w:numPr>
              <w:spacing w:before="120" w:after="120"/>
              <w:jc w:val="both"/>
              <w:rPr>
                <w:b/>
                <w:bCs/>
              </w:rPr>
            </w:pPr>
            <w:r w:rsidRPr="007E067D">
              <w:rPr>
                <w:b/>
                <w:bCs/>
              </w:rPr>
              <w:t>Email and Letter dated 9 May 2016</w:t>
            </w:r>
          </w:p>
        </w:tc>
        <w:tc>
          <w:tcPr>
            <w:tcW w:w="799" w:type="pct"/>
            <w:shd w:val="clear" w:color="auto" w:fill="FFCCCC"/>
          </w:tcPr>
          <w:p w:rsidR="007579B1" w:rsidRPr="007E067D" w:rsidRDefault="00853DBE" w:rsidP="007E067D">
            <w:pPr>
              <w:numPr>
                <w:ilvl w:val="0"/>
                <w:numId w:val="0"/>
              </w:numPr>
              <w:spacing w:before="120" w:after="120"/>
              <w:ind w:right="0"/>
              <w:jc w:val="both"/>
            </w:pPr>
            <w:r w:rsidRPr="007E067D">
              <w:t>Hilton Renald</w:t>
            </w:r>
          </w:p>
          <w:p w:rsidR="00853DBE" w:rsidRPr="007E067D" w:rsidRDefault="00853DBE" w:rsidP="007E067D">
            <w:pPr>
              <w:numPr>
                <w:ilvl w:val="0"/>
                <w:numId w:val="0"/>
              </w:numPr>
              <w:spacing w:before="120" w:after="120"/>
              <w:ind w:right="0"/>
              <w:jc w:val="both"/>
            </w:pPr>
            <w:r w:rsidRPr="007E067D">
              <w:t>uMhlathuze</w:t>
            </w:r>
          </w:p>
        </w:tc>
        <w:tc>
          <w:tcPr>
            <w:tcW w:w="620" w:type="pct"/>
            <w:shd w:val="clear" w:color="auto" w:fill="FFCCCC"/>
          </w:tcPr>
          <w:p w:rsidR="007579B1" w:rsidRPr="007E067D" w:rsidRDefault="007579B1" w:rsidP="007E067D">
            <w:pPr>
              <w:numPr>
                <w:ilvl w:val="0"/>
                <w:numId w:val="0"/>
              </w:numPr>
              <w:spacing w:before="120" w:after="120"/>
              <w:jc w:val="both"/>
            </w:pPr>
          </w:p>
        </w:tc>
        <w:tc>
          <w:tcPr>
            <w:tcW w:w="1554" w:type="pct"/>
            <w:shd w:val="clear" w:color="auto" w:fill="FFCCCC"/>
          </w:tcPr>
          <w:p w:rsidR="007579B1" w:rsidRPr="007E067D" w:rsidRDefault="00853DBE" w:rsidP="007E067D">
            <w:pPr>
              <w:numPr>
                <w:ilvl w:val="0"/>
                <w:numId w:val="0"/>
              </w:numPr>
              <w:spacing w:before="120" w:after="120"/>
              <w:jc w:val="both"/>
            </w:pPr>
            <w:r w:rsidRPr="007E067D">
              <w:t>The paper is well written and very comprehensive.  From piloting this initiative, the uMhlathuze Municipality advises that the following be added to ensure effectiveness of the internal audit plays in the project:</w:t>
            </w:r>
          </w:p>
        </w:tc>
        <w:tc>
          <w:tcPr>
            <w:tcW w:w="1347" w:type="pct"/>
            <w:shd w:val="clear" w:color="auto" w:fill="FFCCCC"/>
          </w:tcPr>
          <w:p w:rsidR="007579B1" w:rsidRPr="007E067D" w:rsidRDefault="00853DBE" w:rsidP="007E067D">
            <w:pPr>
              <w:numPr>
                <w:ilvl w:val="0"/>
                <w:numId w:val="0"/>
              </w:numPr>
              <w:spacing w:before="120" w:after="120"/>
              <w:jc w:val="both"/>
            </w:pPr>
            <w:r w:rsidRPr="007E067D">
              <w:t>Comment noted.</w:t>
            </w:r>
          </w:p>
        </w:tc>
      </w:tr>
      <w:tr w:rsidR="000130E6" w:rsidRPr="007E067D" w:rsidTr="007E067D">
        <w:tc>
          <w:tcPr>
            <w:tcW w:w="680" w:type="pct"/>
            <w:shd w:val="clear" w:color="auto" w:fill="auto"/>
          </w:tcPr>
          <w:p w:rsidR="00853DBE" w:rsidRPr="007E067D" w:rsidRDefault="00853DBE" w:rsidP="007E067D">
            <w:pPr>
              <w:numPr>
                <w:ilvl w:val="0"/>
                <w:numId w:val="0"/>
              </w:numPr>
              <w:spacing w:before="120" w:after="120"/>
              <w:jc w:val="both"/>
              <w:rPr>
                <w:b/>
                <w:bCs/>
              </w:rPr>
            </w:pPr>
          </w:p>
        </w:tc>
        <w:tc>
          <w:tcPr>
            <w:tcW w:w="799" w:type="pct"/>
            <w:shd w:val="clear" w:color="auto" w:fill="auto"/>
          </w:tcPr>
          <w:p w:rsidR="00853DBE" w:rsidRPr="007E067D" w:rsidRDefault="00853DBE" w:rsidP="007E067D">
            <w:pPr>
              <w:numPr>
                <w:ilvl w:val="0"/>
                <w:numId w:val="0"/>
              </w:numPr>
              <w:spacing w:before="120" w:after="120"/>
              <w:ind w:right="0"/>
              <w:jc w:val="both"/>
            </w:pPr>
          </w:p>
        </w:tc>
        <w:tc>
          <w:tcPr>
            <w:tcW w:w="620" w:type="pct"/>
            <w:shd w:val="clear" w:color="auto" w:fill="auto"/>
          </w:tcPr>
          <w:p w:rsidR="00853DBE" w:rsidRPr="007E067D" w:rsidRDefault="00853DBE" w:rsidP="007E067D">
            <w:pPr>
              <w:numPr>
                <w:ilvl w:val="0"/>
                <w:numId w:val="0"/>
              </w:numPr>
              <w:spacing w:before="120" w:after="120"/>
              <w:jc w:val="both"/>
            </w:pPr>
          </w:p>
        </w:tc>
        <w:tc>
          <w:tcPr>
            <w:tcW w:w="1554" w:type="pct"/>
            <w:shd w:val="clear" w:color="auto" w:fill="auto"/>
          </w:tcPr>
          <w:p w:rsidR="00853DBE" w:rsidRPr="007E067D" w:rsidRDefault="00853DBE" w:rsidP="007E067D">
            <w:pPr>
              <w:numPr>
                <w:ilvl w:val="0"/>
                <w:numId w:val="0"/>
              </w:numPr>
              <w:spacing w:before="120" w:after="120"/>
              <w:jc w:val="both"/>
            </w:pPr>
            <w:r w:rsidRPr="007E067D">
              <w:t>Firstly, the paper correctly high</w:t>
            </w:r>
            <w:r w:rsidR="002F3036" w:rsidRPr="007E067D">
              <w:t>-</w:t>
            </w:r>
            <w:r w:rsidRPr="007E067D">
              <w:t>light</w:t>
            </w:r>
            <w:r w:rsidR="0097702C" w:rsidRPr="007E067D">
              <w:t>s</w:t>
            </w:r>
            <w:r w:rsidRPr="007E067D">
              <w:t xml:space="preserve"> the internal audit role in the project planning and execution, however what is of equal importance is the r</w:t>
            </w:r>
            <w:r w:rsidR="002F3036" w:rsidRPr="007E067D">
              <w:t xml:space="preserve">ole they play when going live.  </w:t>
            </w:r>
            <w:r w:rsidRPr="007E067D">
              <w:t>Although in a well-managed project there will be user acceptance testing and training prior</w:t>
            </w:r>
            <w:r w:rsidR="0097702C" w:rsidRPr="007E067D">
              <w:t xml:space="preserve"> to</w:t>
            </w:r>
            <w:r w:rsidRPr="007E067D">
              <w:t xml:space="preserve"> going live, the reality of going live will illicit its own set of data migration and transactional challenges.  Internal audit needs to play a “due diligence role”.  </w:t>
            </w:r>
          </w:p>
        </w:tc>
        <w:tc>
          <w:tcPr>
            <w:tcW w:w="1347" w:type="pct"/>
            <w:shd w:val="clear" w:color="auto" w:fill="auto"/>
          </w:tcPr>
          <w:p w:rsidR="00853DBE" w:rsidRPr="007E067D" w:rsidRDefault="002F3036" w:rsidP="007E067D">
            <w:pPr>
              <w:numPr>
                <w:ilvl w:val="0"/>
                <w:numId w:val="0"/>
              </w:numPr>
              <w:spacing w:before="120" w:after="120"/>
              <w:jc w:val="both"/>
            </w:pPr>
            <w:r w:rsidRPr="007E067D">
              <w:t xml:space="preserve">This concept is discussed in the following section of the Position Paper: </w:t>
            </w:r>
            <w:r w:rsidRPr="007E067D">
              <w:fldChar w:fldCharType="begin"/>
            </w:r>
            <w:r w:rsidRPr="007E067D">
              <w:instrText xml:space="preserve"> REF _Ref456442112 \h </w:instrText>
            </w:r>
            <w:r w:rsidR="00B13D45" w:rsidRPr="007E067D">
              <w:instrText xml:space="preserve"> \* MERGEFORMAT </w:instrText>
            </w:r>
            <w:r w:rsidRPr="007E067D">
              <w:fldChar w:fldCharType="separate"/>
            </w:r>
            <w:r w:rsidR="00DD355E" w:rsidRPr="007E067D">
              <w:rPr>
                <w:lang w:eastAsia="en-ZA"/>
              </w:rPr>
              <w:t>Step 8:  Complete the Overall Audit Analysis of the Implementation</w:t>
            </w:r>
            <w:r w:rsidRPr="007E067D">
              <w:fldChar w:fldCharType="end"/>
            </w:r>
          </w:p>
        </w:tc>
      </w:tr>
      <w:tr w:rsidR="000130E6" w:rsidRPr="007E067D" w:rsidTr="00674F71">
        <w:tc>
          <w:tcPr>
            <w:tcW w:w="680" w:type="pct"/>
            <w:shd w:val="clear" w:color="auto" w:fill="FFCCCC"/>
          </w:tcPr>
          <w:p w:rsidR="00765852" w:rsidRPr="007E067D" w:rsidRDefault="00765852" w:rsidP="007E067D">
            <w:pPr>
              <w:numPr>
                <w:ilvl w:val="0"/>
                <w:numId w:val="0"/>
              </w:numPr>
              <w:spacing w:before="120" w:after="120"/>
              <w:jc w:val="both"/>
              <w:rPr>
                <w:b/>
                <w:bCs/>
              </w:rPr>
            </w:pPr>
          </w:p>
        </w:tc>
        <w:tc>
          <w:tcPr>
            <w:tcW w:w="799" w:type="pct"/>
            <w:shd w:val="clear" w:color="auto" w:fill="FFCCCC"/>
          </w:tcPr>
          <w:p w:rsidR="00765852" w:rsidRPr="007E067D" w:rsidRDefault="00765852" w:rsidP="007E067D">
            <w:pPr>
              <w:numPr>
                <w:ilvl w:val="0"/>
                <w:numId w:val="0"/>
              </w:numPr>
              <w:spacing w:before="120" w:after="120"/>
              <w:ind w:right="0"/>
              <w:jc w:val="both"/>
            </w:pPr>
          </w:p>
        </w:tc>
        <w:tc>
          <w:tcPr>
            <w:tcW w:w="620" w:type="pct"/>
            <w:shd w:val="clear" w:color="auto" w:fill="FFCCCC"/>
          </w:tcPr>
          <w:p w:rsidR="00765852" w:rsidRPr="007E067D" w:rsidRDefault="00765852" w:rsidP="007E067D">
            <w:pPr>
              <w:numPr>
                <w:ilvl w:val="0"/>
                <w:numId w:val="0"/>
              </w:numPr>
              <w:spacing w:before="120" w:after="120"/>
              <w:jc w:val="both"/>
            </w:pPr>
          </w:p>
        </w:tc>
        <w:tc>
          <w:tcPr>
            <w:tcW w:w="1554" w:type="pct"/>
            <w:shd w:val="clear" w:color="auto" w:fill="FFCCCC"/>
          </w:tcPr>
          <w:p w:rsidR="00765852" w:rsidRPr="007E067D" w:rsidRDefault="00765852" w:rsidP="007E067D">
            <w:pPr>
              <w:numPr>
                <w:ilvl w:val="0"/>
                <w:numId w:val="0"/>
              </w:numPr>
              <w:spacing w:before="120" w:after="120"/>
              <w:jc w:val="both"/>
            </w:pPr>
            <w:r w:rsidRPr="007E067D">
              <w:t>Secondly, this reform roll-out is not “business as usual”, hence both prior and post going live, internal audit needs to place special emphasis to the mSCOA project.</w:t>
            </w:r>
          </w:p>
        </w:tc>
        <w:tc>
          <w:tcPr>
            <w:tcW w:w="1347" w:type="pct"/>
            <w:shd w:val="clear" w:color="auto" w:fill="FFCCCC"/>
          </w:tcPr>
          <w:p w:rsidR="00765852" w:rsidRPr="007E067D" w:rsidRDefault="00765852" w:rsidP="007E067D">
            <w:pPr>
              <w:numPr>
                <w:ilvl w:val="0"/>
                <w:numId w:val="0"/>
              </w:numPr>
              <w:spacing w:before="120" w:after="120"/>
              <w:jc w:val="both"/>
            </w:pPr>
            <w:r w:rsidRPr="007E067D">
              <w:t>This concept is discussed in the following section of the Position Paper:</w:t>
            </w:r>
            <w:r w:rsidR="004A2FD6" w:rsidRPr="007E067D">
              <w:t xml:space="preserve"> EIGHT STEPS TO CONSIDER IN T</w:t>
            </w:r>
            <w:r w:rsidR="005903CE" w:rsidRPr="007E067D">
              <w:t>HE INTERNAL AUDIT</w:t>
            </w:r>
            <w:r w:rsidR="004A2FD6" w:rsidRPr="007E067D">
              <w:t xml:space="preserve"> </w:t>
            </w:r>
            <w:r w:rsidR="00DD355E" w:rsidRPr="007E067D">
              <w:t>PROCESS</w:t>
            </w:r>
            <w:r w:rsidR="005903CE" w:rsidRPr="007E067D">
              <w:t>:</w:t>
            </w:r>
            <w:r w:rsidR="00DD355E" w:rsidRPr="007E067D">
              <w:t xml:space="preserve"> Step</w:t>
            </w:r>
            <w:r w:rsidR="004A2FD6" w:rsidRPr="007E067D">
              <w:t xml:space="preserve"> 8. Completes the Overall Audit Analysis of the implementation.</w:t>
            </w:r>
          </w:p>
        </w:tc>
      </w:tr>
      <w:tr w:rsidR="000130E6" w:rsidRPr="007E067D" w:rsidTr="007E067D">
        <w:tc>
          <w:tcPr>
            <w:tcW w:w="680" w:type="pct"/>
            <w:shd w:val="clear" w:color="auto" w:fill="auto"/>
          </w:tcPr>
          <w:p w:rsidR="00765852" w:rsidRPr="007E067D" w:rsidRDefault="00765852" w:rsidP="007E067D">
            <w:pPr>
              <w:numPr>
                <w:ilvl w:val="0"/>
                <w:numId w:val="0"/>
              </w:numPr>
              <w:spacing w:before="120" w:after="120"/>
              <w:jc w:val="both"/>
              <w:rPr>
                <w:b/>
                <w:bCs/>
              </w:rPr>
            </w:pPr>
          </w:p>
        </w:tc>
        <w:tc>
          <w:tcPr>
            <w:tcW w:w="799" w:type="pct"/>
            <w:shd w:val="clear" w:color="auto" w:fill="auto"/>
          </w:tcPr>
          <w:p w:rsidR="00765852" w:rsidRPr="007E067D" w:rsidRDefault="00765852" w:rsidP="007E067D">
            <w:pPr>
              <w:numPr>
                <w:ilvl w:val="0"/>
                <w:numId w:val="0"/>
              </w:numPr>
              <w:spacing w:before="120" w:after="120"/>
              <w:ind w:right="0"/>
              <w:jc w:val="both"/>
            </w:pPr>
          </w:p>
        </w:tc>
        <w:tc>
          <w:tcPr>
            <w:tcW w:w="620" w:type="pct"/>
            <w:shd w:val="clear" w:color="auto" w:fill="auto"/>
          </w:tcPr>
          <w:p w:rsidR="00765852" w:rsidRPr="007E067D" w:rsidRDefault="00765852" w:rsidP="007E067D">
            <w:pPr>
              <w:numPr>
                <w:ilvl w:val="0"/>
                <w:numId w:val="0"/>
              </w:numPr>
              <w:spacing w:before="120" w:after="120"/>
              <w:jc w:val="both"/>
            </w:pPr>
          </w:p>
        </w:tc>
        <w:tc>
          <w:tcPr>
            <w:tcW w:w="1554" w:type="pct"/>
            <w:shd w:val="clear" w:color="auto" w:fill="auto"/>
          </w:tcPr>
          <w:p w:rsidR="00765852" w:rsidRPr="007E067D" w:rsidRDefault="00765852" w:rsidP="007E067D">
            <w:pPr>
              <w:numPr>
                <w:ilvl w:val="0"/>
                <w:numId w:val="0"/>
              </w:numPr>
              <w:spacing w:before="120" w:after="120"/>
              <w:jc w:val="both"/>
            </w:pPr>
            <w:r w:rsidRPr="007E067D">
              <w:t>Due to limited resources in the Country, the additional scope of work that arise from this reform must not simply be added to the normal audit plan, but instead where necessary defer normal/conventional scope to post a stable mSCOA complaint system i.e. unless the National Treasury will add funding for additional Internal Audit, it is suggested that audit plans normal annual program be reviewed specifically to address both prior and post going live detailed audit system and transactional testing.</w:t>
            </w:r>
          </w:p>
        </w:tc>
        <w:tc>
          <w:tcPr>
            <w:tcW w:w="1347" w:type="pct"/>
            <w:shd w:val="clear" w:color="auto" w:fill="auto"/>
          </w:tcPr>
          <w:p w:rsidR="00765852" w:rsidRPr="007E067D" w:rsidRDefault="00566748" w:rsidP="007E067D">
            <w:pPr>
              <w:numPr>
                <w:ilvl w:val="0"/>
                <w:numId w:val="0"/>
              </w:numPr>
              <w:spacing w:before="120" w:after="120"/>
              <w:jc w:val="both"/>
            </w:pPr>
            <w:r w:rsidRPr="007E067D">
              <w:t xml:space="preserve">This concerned is discussed in Paragraph 38 of this Position Paper. </w:t>
            </w:r>
          </w:p>
        </w:tc>
      </w:tr>
    </w:tbl>
    <w:p w:rsidR="007579B1" w:rsidRDefault="007579B1" w:rsidP="00B13D45">
      <w:pPr>
        <w:pStyle w:val="Heading1"/>
        <w:jc w:val="both"/>
        <w:sectPr w:rsidR="007579B1" w:rsidSect="00674F71">
          <w:footerReference w:type="even" r:id="rId15"/>
          <w:footerReference w:type="default" r:id="rId16"/>
          <w:footerReference w:type="first" r:id="rId17"/>
          <w:pgSz w:w="16838" w:h="11906" w:orient="landscape"/>
          <w:pgMar w:top="1440" w:right="1440" w:bottom="1440" w:left="1440" w:header="708" w:footer="43" w:gutter="0"/>
          <w:cols w:space="708"/>
          <w:docGrid w:linePitch="360"/>
        </w:sectPr>
      </w:pPr>
    </w:p>
    <w:p w:rsidR="0067084E" w:rsidRPr="00674F71" w:rsidRDefault="0067084E" w:rsidP="00674F71">
      <w:pPr>
        <w:pStyle w:val="Heading2"/>
        <w:keepNext w:val="0"/>
        <w:keepLines w:val="0"/>
        <w:suppressAutoHyphens/>
        <w:autoSpaceDN w:val="0"/>
        <w:spacing w:before="240" w:after="240"/>
        <w:ind w:left="284" w:right="0" w:hanging="284"/>
        <w:textAlignment w:val="baseline"/>
        <w:rPr>
          <w:rFonts w:ascii="Arial" w:eastAsia="MS Mincho" w:hAnsi="Arial" w:cs="Arial"/>
          <w:bCs w:val="0"/>
          <w:color w:val="auto"/>
          <w:szCs w:val="24"/>
          <w:lang w:eastAsia="en-ZA"/>
        </w:rPr>
      </w:pPr>
      <w:bookmarkStart w:id="113" w:name="_Toc456353325"/>
      <w:bookmarkStart w:id="114" w:name="_Toc466031789"/>
      <w:bookmarkStart w:id="115" w:name="_Toc466031930"/>
      <w:bookmarkStart w:id="116" w:name="_Toc466032402"/>
      <w:r w:rsidRPr="00674F71">
        <w:rPr>
          <w:rFonts w:ascii="Arial" w:eastAsia="MS Mincho" w:hAnsi="Arial" w:cs="Arial"/>
          <w:bCs w:val="0"/>
          <w:color w:val="auto"/>
          <w:szCs w:val="24"/>
          <w:lang w:eastAsia="en-ZA"/>
        </w:rPr>
        <w:t>ANNEXURE D - NATIONAL TREASURY DOCUMENTS TO BE REVISED FOLLOWING THE ADOPTION OF THIS POSITION PAPER</w:t>
      </w:r>
      <w:bookmarkEnd w:id="113"/>
      <w:bookmarkEnd w:id="114"/>
      <w:bookmarkEnd w:id="115"/>
      <w:bookmarkEnd w:id="116"/>
    </w:p>
    <w:p w:rsidR="0067084E" w:rsidRPr="00674F71" w:rsidRDefault="0067084E" w:rsidP="00B13D45">
      <w:pPr>
        <w:pStyle w:val="Heading2"/>
        <w:jc w:val="both"/>
        <w:rPr>
          <w:color w:val="auto"/>
        </w:rPr>
      </w:pPr>
      <w:bookmarkStart w:id="117" w:name="_Toc466031790"/>
      <w:bookmarkStart w:id="118" w:name="_Toc466031931"/>
      <w:bookmarkStart w:id="119" w:name="_Toc466032403"/>
      <w:r w:rsidRPr="00674F71">
        <w:rPr>
          <w:color w:val="auto"/>
        </w:rPr>
        <w:t>National Treasury Internal Audit Framework (March 2009 2</w:t>
      </w:r>
      <w:r w:rsidRPr="00674F71">
        <w:rPr>
          <w:color w:val="auto"/>
          <w:vertAlign w:val="superscript"/>
        </w:rPr>
        <w:t>nd</w:t>
      </w:r>
      <w:r w:rsidRPr="00674F71">
        <w:rPr>
          <w:color w:val="auto"/>
        </w:rPr>
        <w:t xml:space="preserve"> Edition)</w:t>
      </w:r>
      <w:bookmarkEnd w:id="117"/>
      <w:bookmarkEnd w:id="118"/>
      <w:bookmarkEnd w:id="119"/>
    </w:p>
    <w:p w:rsidR="0067084E" w:rsidRDefault="0067084E" w:rsidP="00B13D45">
      <w:pPr>
        <w:pStyle w:val="ListParagraph"/>
        <w:numPr>
          <w:ilvl w:val="0"/>
          <w:numId w:val="38"/>
        </w:numPr>
        <w:ind w:right="0"/>
        <w:jc w:val="both"/>
      </w:pPr>
      <w:r>
        <w:t xml:space="preserve">The guideline need to be revised to give consideration </w:t>
      </w:r>
      <w:r w:rsidR="00810A47">
        <w:t xml:space="preserve">to the </w:t>
      </w:r>
      <w:r w:rsidR="00810A47" w:rsidRPr="00F8558A">
        <w:t xml:space="preserve">Institute of Internal </w:t>
      </w:r>
      <w:proofErr w:type="gramStart"/>
      <w:r w:rsidR="00810A47" w:rsidRPr="00F8558A">
        <w:t>Auditors’(</w:t>
      </w:r>
      <w:proofErr w:type="gramEnd"/>
      <w:r w:rsidR="00810A47" w:rsidRPr="00F8558A">
        <w:t xml:space="preserve">IIA) International Standards for the Professional Practice of Internal Auditing (ISPPIA) and the </w:t>
      </w:r>
      <w:hyperlink r:id="rId18" w:tgtFrame="_blank" w:history="1">
        <w:r w:rsidR="00810A47" w:rsidRPr="00F8558A">
          <w:t>Committee of Sponsoring Organizations of the Treadway Commission</w:t>
        </w:r>
      </w:hyperlink>
      <w:r w:rsidR="00810A47" w:rsidRPr="00F8558A">
        <w:t xml:space="preserve"> </w:t>
      </w:r>
      <w:r w:rsidR="00810A47" w:rsidRPr="00811136">
        <w:t>(</w:t>
      </w:r>
      <w:r w:rsidR="00810A47" w:rsidRPr="00F8558A">
        <w:t>COSO</w:t>
      </w:r>
      <w:r w:rsidR="00810A47" w:rsidRPr="00811136">
        <w:t>)</w:t>
      </w:r>
      <w:r w:rsidR="00810A47" w:rsidRPr="00F8558A">
        <w:t xml:space="preserve"> framework on internal control</w:t>
      </w:r>
      <w:r w:rsidR="00810A47">
        <w:t>.</w:t>
      </w:r>
    </w:p>
    <w:p w:rsidR="007579B1" w:rsidRPr="00811136" w:rsidRDefault="007579B1" w:rsidP="00B13D45">
      <w:pPr>
        <w:numPr>
          <w:ilvl w:val="0"/>
          <w:numId w:val="0"/>
        </w:numPr>
        <w:ind w:left="567"/>
        <w:jc w:val="both"/>
      </w:pPr>
    </w:p>
    <w:sectPr w:rsidR="007579B1" w:rsidRPr="00811136" w:rsidSect="0067084E">
      <w:footerReference w:type="default" r:id="rId19"/>
      <w:pgSz w:w="11906" w:h="16838"/>
      <w:pgMar w:top="1440" w:right="1440" w:bottom="794" w:left="1440"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F71" w:rsidRDefault="00674F71" w:rsidP="00F8558A">
      <w:r>
        <w:separator/>
      </w:r>
    </w:p>
  </w:endnote>
  <w:endnote w:type="continuationSeparator" w:id="0">
    <w:p w:rsidR="00674F71" w:rsidRDefault="00674F71" w:rsidP="00F8558A">
      <w:r>
        <w:continuationSeparator/>
      </w:r>
    </w:p>
  </w:endnote>
  <w:endnote w:type="continuationNotice" w:id="1">
    <w:p w:rsidR="00674F71" w:rsidRDefault="00674F71" w:rsidP="00F855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Arial">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18" w:space="0" w:color="BF8F00"/>
      </w:tblBorders>
      <w:tblLayout w:type="fixed"/>
      <w:tblLook w:val="0000" w:firstRow="0" w:lastRow="0" w:firstColumn="0" w:lastColumn="0" w:noHBand="0" w:noVBand="0"/>
    </w:tblPr>
    <w:tblGrid>
      <w:gridCol w:w="7128"/>
      <w:gridCol w:w="2159"/>
    </w:tblGrid>
    <w:tr w:rsidR="00674F71" w:rsidTr="00674F71">
      <w:tc>
        <w:tcPr>
          <w:tcW w:w="7128" w:type="dxa"/>
        </w:tcPr>
        <w:p w:rsidR="00674F71" w:rsidRPr="000733DA" w:rsidRDefault="00674F71" w:rsidP="00B56ED8">
          <w:pPr>
            <w:numPr>
              <w:ilvl w:val="0"/>
              <w:numId w:val="0"/>
            </w:numPr>
            <w:spacing w:before="120"/>
            <w:ind w:right="57"/>
            <w:rPr>
              <w:b/>
              <w:i/>
              <w:sz w:val="18"/>
            </w:rPr>
          </w:pPr>
          <w:r>
            <w:rPr>
              <w:b/>
              <w:i/>
              <w:sz w:val="18"/>
            </w:rPr>
            <w:t>November 2016</w:t>
          </w:r>
        </w:p>
      </w:tc>
      <w:tc>
        <w:tcPr>
          <w:tcW w:w="2159" w:type="dxa"/>
        </w:tcPr>
        <w:p w:rsidR="00674F71" w:rsidRDefault="00674F71" w:rsidP="00B56ED8">
          <w:pPr>
            <w:numPr>
              <w:ilvl w:val="0"/>
              <w:numId w:val="0"/>
            </w:numPr>
            <w:spacing w:before="60" w:after="60"/>
            <w:ind w:left="57" w:right="57"/>
            <w:jc w:val="center"/>
            <w:rPr>
              <w:b/>
              <w:i/>
              <w:sz w:val="18"/>
            </w:rPr>
          </w:pPr>
          <w:r w:rsidRPr="000733DA">
            <w:rPr>
              <w:b/>
              <w:i/>
              <w:sz w:val="18"/>
            </w:rPr>
            <w:t xml:space="preserve">Page </w:t>
          </w:r>
          <w:r w:rsidRPr="000733DA">
            <w:rPr>
              <w:b/>
              <w:i/>
              <w:sz w:val="18"/>
            </w:rPr>
            <w:fldChar w:fldCharType="begin"/>
          </w:r>
          <w:r w:rsidRPr="000733DA">
            <w:rPr>
              <w:b/>
              <w:i/>
              <w:sz w:val="18"/>
            </w:rPr>
            <w:instrText xml:space="preserve"> PAGE </w:instrText>
          </w:r>
          <w:r w:rsidRPr="000733DA">
            <w:rPr>
              <w:b/>
              <w:i/>
              <w:sz w:val="18"/>
            </w:rPr>
            <w:fldChar w:fldCharType="separate"/>
          </w:r>
          <w:r w:rsidR="0039363A">
            <w:rPr>
              <w:b/>
              <w:i/>
              <w:noProof/>
              <w:sz w:val="18"/>
            </w:rPr>
            <w:t>18</w:t>
          </w:r>
          <w:r w:rsidRPr="000733DA">
            <w:rPr>
              <w:b/>
              <w:i/>
              <w:sz w:val="18"/>
            </w:rPr>
            <w:fldChar w:fldCharType="end"/>
          </w:r>
          <w:r w:rsidRPr="000733DA">
            <w:rPr>
              <w:b/>
              <w:i/>
              <w:sz w:val="18"/>
            </w:rPr>
            <w:t xml:space="preserve"> of </w:t>
          </w:r>
          <w:r w:rsidRPr="000733DA">
            <w:rPr>
              <w:b/>
              <w:i/>
              <w:sz w:val="18"/>
            </w:rPr>
            <w:fldChar w:fldCharType="begin"/>
          </w:r>
          <w:r w:rsidRPr="000733DA">
            <w:rPr>
              <w:b/>
              <w:i/>
              <w:sz w:val="18"/>
            </w:rPr>
            <w:instrText xml:space="preserve"> NUMPAGES </w:instrText>
          </w:r>
          <w:r w:rsidRPr="000733DA">
            <w:rPr>
              <w:b/>
              <w:i/>
              <w:sz w:val="18"/>
            </w:rPr>
            <w:fldChar w:fldCharType="separate"/>
          </w:r>
          <w:r w:rsidR="0039363A">
            <w:rPr>
              <w:b/>
              <w:i/>
              <w:noProof/>
              <w:sz w:val="18"/>
            </w:rPr>
            <w:t>30</w:t>
          </w:r>
          <w:r w:rsidRPr="000733DA">
            <w:rPr>
              <w:b/>
              <w:i/>
              <w:sz w:val="18"/>
            </w:rPr>
            <w:fldChar w:fldCharType="end"/>
          </w:r>
        </w:p>
      </w:tc>
    </w:tr>
  </w:tbl>
  <w:p w:rsidR="00674F71" w:rsidRPr="006413DA" w:rsidRDefault="00674F71" w:rsidP="008C2F0B">
    <w:pPr>
      <w:numPr>
        <w:ilvl w:val="0"/>
        <w:numId w:val="0"/>
      </w:numPr>
      <w:ind w:left="14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F71" w:rsidRPr="006413DA" w:rsidRDefault="00674F71" w:rsidP="008C2F0B">
    <w:pPr>
      <w:numPr>
        <w:ilvl w:val="0"/>
        <w:numId w:val="0"/>
      </w:numPr>
      <w:ind w:left="14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18" w:space="0" w:color="BF8F00"/>
      </w:tblBorders>
      <w:tblLayout w:type="fixed"/>
      <w:tblLook w:val="0000" w:firstRow="0" w:lastRow="0" w:firstColumn="0" w:lastColumn="0" w:noHBand="0" w:noVBand="0"/>
    </w:tblPr>
    <w:tblGrid>
      <w:gridCol w:w="7128"/>
      <w:gridCol w:w="2159"/>
    </w:tblGrid>
    <w:tr w:rsidR="00674F71" w:rsidTr="00674F71">
      <w:tc>
        <w:tcPr>
          <w:tcW w:w="7128" w:type="dxa"/>
        </w:tcPr>
        <w:p w:rsidR="00674F71" w:rsidRPr="000733DA" w:rsidRDefault="00674F71" w:rsidP="00B56ED8">
          <w:pPr>
            <w:numPr>
              <w:ilvl w:val="0"/>
              <w:numId w:val="0"/>
            </w:numPr>
            <w:spacing w:before="120"/>
            <w:ind w:right="57"/>
            <w:rPr>
              <w:b/>
              <w:i/>
              <w:sz w:val="18"/>
            </w:rPr>
          </w:pPr>
          <w:r>
            <w:rPr>
              <w:b/>
              <w:i/>
              <w:sz w:val="18"/>
            </w:rPr>
            <w:t>November 2016</w:t>
          </w:r>
        </w:p>
      </w:tc>
      <w:tc>
        <w:tcPr>
          <w:tcW w:w="2159" w:type="dxa"/>
        </w:tcPr>
        <w:p w:rsidR="00674F71" w:rsidRDefault="00674F71" w:rsidP="00B56ED8">
          <w:pPr>
            <w:numPr>
              <w:ilvl w:val="0"/>
              <w:numId w:val="0"/>
            </w:numPr>
            <w:spacing w:before="60" w:after="60"/>
            <w:ind w:left="57" w:right="57"/>
            <w:jc w:val="center"/>
            <w:rPr>
              <w:b/>
              <w:i/>
              <w:sz w:val="18"/>
            </w:rPr>
          </w:pPr>
          <w:r w:rsidRPr="000733DA">
            <w:rPr>
              <w:b/>
              <w:i/>
              <w:sz w:val="18"/>
            </w:rPr>
            <w:t xml:space="preserve">Page </w:t>
          </w:r>
          <w:r w:rsidRPr="000733DA">
            <w:rPr>
              <w:b/>
              <w:i/>
              <w:sz w:val="18"/>
            </w:rPr>
            <w:fldChar w:fldCharType="begin"/>
          </w:r>
          <w:r w:rsidRPr="000733DA">
            <w:rPr>
              <w:b/>
              <w:i/>
              <w:sz w:val="18"/>
            </w:rPr>
            <w:instrText xml:space="preserve"> PAGE </w:instrText>
          </w:r>
          <w:r w:rsidRPr="000733DA">
            <w:rPr>
              <w:b/>
              <w:i/>
              <w:sz w:val="18"/>
            </w:rPr>
            <w:fldChar w:fldCharType="separate"/>
          </w:r>
          <w:r>
            <w:rPr>
              <w:b/>
              <w:i/>
              <w:noProof/>
              <w:sz w:val="18"/>
            </w:rPr>
            <w:t>1</w:t>
          </w:r>
          <w:r w:rsidRPr="000733DA">
            <w:rPr>
              <w:b/>
              <w:i/>
              <w:sz w:val="18"/>
            </w:rPr>
            <w:fldChar w:fldCharType="end"/>
          </w:r>
          <w:r w:rsidRPr="000733DA">
            <w:rPr>
              <w:b/>
              <w:i/>
              <w:sz w:val="18"/>
            </w:rPr>
            <w:t xml:space="preserve"> of </w:t>
          </w:r>
          <w:r w:rsidRPr="000733DA">
            <w:rPr>
              <w:b/>
              <w:i/>
              <w:sz w:val="18"/>
            </w:rPr>
            <w:fldChar w:fldCharType="begin"/>
          </w:r>
          <w:r w:rsidRPr="000733DA">
            <w:rPr>
              <w:b/>
              <w:i/>
              <w:sz w:val="18"/>
            </w:rPr>
            <w:instrText xml:space="preserve"> NUMPAGES </w:instrText>
          </w:r>
          <w:r w:rsidRPr="000733DA">
            <w:rPr>
              <w:b/>
              <w:i/>
              <w:sz w:val="18"/>
            </w:rPr>
            <w:fldChar w:fldCharType="separate"/>
          </w:r>
          <w:r>
            <w:rPr>
              <w:b/>
              <w:i/>
              <w:noProof/>
              <w:sz w:val="18"/>
            </w:rPr>
            <w:t>30</w:t>
          </w:r>
          <w:r w:rsidRPr="000733DA">
            <w:rPr>
              <w:b/>
              <w:i/>
              <w:sz w:val="18"/>
            </w:rPr>
            <w:fldChar w:fldCharType="end"/>
          </w:r>
        </w:p>
      </w:tc>
    </w:tr>
  </w:tbl>
  <w:p w:rsidR="00674F71" w:rsidRPr="006413DA" w:rsidRDefault="00674F71" w:rsidP="008C2F0B">
    <w:pPr>
      <w:numPr>
        <w:ilvl w:val="0"/>
        <w:numId w:val="0"/>
      </w:numPr>
      <w:ind w:left="14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F71" w:rsidRDefault="00674F7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184" w:type="dxa"/>
      <w:tblBorders>
        <w:top w:val="single" w:sz="18" w:space="0" w:color="BF8F00"/>
      </w:tblBorders>
      <w:tblLayout w:type="fixed"/>
      <w:tblLook w:val="0000" w:firstRow="0" w:lastRow="0" w:firstColumn="0" w:lastColumn="0" w:noHBand="0" w:noVBand="0"/>
    </w:tblPr>
    <w:tblGrid>
      <w:gridCol w:w="10887"/>
      <w:gridCol w:w="3297"/>
    </w:tblGrid>
    <w:tr w:rsidR="00674F71" w:rsidTr="00674F71">
      <w:trPr>
        <w:trHeight w:val="256"/>
      </w:trPr>
      <w:tc>
        <w:tcPr>
          <w:tcW w:w="10887" w:type="dxa"/>
        </w:tcPr>
        <w:p w:rsidR="00674F71" w:rsidRPr="000733DA" w:rsidRDefault="00674F71" w:rsidP="00B56ED8">
          <w:pPr>
            <w:numPr>
              <w:ilvl w:val="0"/>
              <w:numId w:val="0"/>
            </w:numPr>
            <w:spacing w:before="120"/>
            <w:ind w:right="57"/>
            <w:rPr>
              <w:b/>
              <w:i/>
              <w:sz w:val="18"/>
            </w:rPr>
          </w:pPr>
          <w:r>
            <w:rPr>
              <w:b/>
              <w:i/>
              <w:sz w:val="18"/>
            </w:rPr>
            <w:t>November 2016</w:t>
          </w:r>
        </w:p>
      </w:tc>
      <w:tc>
        <w:tcPr>
          <w:tcW w:w="3297" w:type="dxa"/>
        </w:tcPr>
        <w:p w:rsidR="00674F71" w:rsidRDefault="00674F71" w:rsidP="00B56ED8">
          <w:pPr>
            <w:numPr>
              <w:ilvl w:val="0"/>
              <w:numId w:val="0"/>
            </w:numPr>
            <w:spacing w:before="60" w:after="60"/>
            <w:ind w:left="57" w:right="57"/>
            <w:jc w:val="center"/>
            <w:rPr>
              <w:b/>
              <w:i/>
              <w:sz w:val="18"/>
            </w:rPr>
          </w:pPr>
          <w:r w:rsidRPr="000733DA">
            <w:rPr>
              <w:b/>
              <w:i/>
              <w:sz w:val="18"/>
            </w:rPr>
            <w:t xml:space="preserve">Page </w:t>
          </w:r>
          <w:r w:rsidRPr="000733DA">
            <w:rPr>
              <w:b/>
              <w:i/>
              <w:sz w:val="18"/>
            </w:rPr>
            <w:fldChar w:fldCharType="begin"/>
          </w:r>
          <w:r w:rsidRPr="000733DA">
            <w:rPr>
              <w:b/>
              <w:i/>
              <w:sz w:val="18"/>
            </w:rPr>
            <w:instrText xml:space="preserve"> PAGE </w:instrText>
          </w:r>
          <w:r w:rsidRPr="000733DA">
            <w:rPr>
              <w:b/>
              <w:i/>
              <w:sz w:val="18"/>
            </w:rPr>
            <w:fldChar w:fldCharType="separate"/>
          </w:r>
          <w:r w:rsidR="0039363A">
            <w:rPr>
              <w:b/>
              <w:i/>
              <w:noProof/>
              <w:sz w:val="18"/>
            </w:rPr>
            <w:t>29</w:t>
          </w:r>
          <w:r w:rsidRPr="000733DA">
            <w:rPr>
              <w:b/>
              <w:i/>
              <w:sz w:val="18"/>
            </w:rPr>
            <w:fldChar w:fldCharType="end"/>
          </w:r>
          <w:r w:rsidRPr="000733DA">
            <w:rPr>
              <w:b/>
              <w:i/>
              <w:sz w:val="18"/>
            </w:rPr>
            <w:t xml:space="preserve"> of </w:t>
          </w:r>
          <w:r w:rsidRPr="000733DA">
            <w:rPr>
              <w:b/>
              <w:i/>
              <w:sz w:val="18"/>
            </w:rPr>
            <w:fldChar w:fldCharType="begin"/>
          </w:r>
          <w:r w:rsidRPr="000733DA">
            <w:rPr>
              <w:b/>
              <w:i/>
              <w:sz w:val="18"/>
            </w:rPr>
            <w:instrText xml:space="preserve"> NUMPAGES </w:instrText>
          </w:r>
          <w:r w:rsidRPr="000733DA">
            <w:rPr>
              <w:b/>
              <w:i/>
              <w:sz w:val="18"/>
            </w:rPr>
            <w:fldChar w:fldCharType="separate"/>
          </w:r>
          <w:r w:rsidR="0039363A">
            <w:rPr>
              <w:b/>
              <w:i/>
              <w:noProof/>
              <w:sz w:val="18"/>
            </w:rPr>
            <w:t>30</w:t>
          </w:r>
          <w:r w:rsidRPr="000733DA">
            <w:rPr>
              <w:b/>
              <w:i/>
              <w:sz w:val="18"/>
            </w:rPr>
            <w:fldChar w:fldCharType="end"/>
          </w:r>
        </w:p>
      </w:tc>
    </w:tr>
  </w:tbl>
  <w:p w:rsidR="00674F71" w:rsidRPr="006413DA" w:rsidRDefault="00674F71" w:rsidP="008C2F0B">
    <w:pPr>
      <w:numPr>
        <w:ilvl w:val="0"/>
        <w:numId w:val="0"/>
      </w:numPr>
      <w:ind w:left="142"/>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F71" w:rsidRDefault="00674F71">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30" w:type="dxa"/>
      <w:tblBorders>
        <w:top w:val="single" w:sz="18" w:space="0" w:color="BF8F00"/>
      </w:tblBorders>
      <w:tblLayout w:type="fixed"/>
      <w:tblLook w:val="0000" w:firstRow="0" w:lastRow="0" w:firstColumn="0" w:lastColumn="0" w:noHBand="0" w:noVBand="0"/>
    </w:tblPr>
    <w:tblGrid>
      <w:gridCol w:w="7085"/>
      <w:gridCol w:w="2145"/>
    </w:tblGrid>
    <w:tr w:rsidR="00674F71" w:rsidTr="00674F71">
      <w:trPr>
        <w:trHeight w:val="243"/>
      </w:trPr>
      <w:tc>
        <w:tcPr>
          <w:tcW w:w="7085" w:type="dxa"/>
        </w:tcPr>
        <w:p w:rsidR="00674F71" w:rsidRPr="000733DA" w:rsidRDefault="00674F71" w:rsidP="00B56ED8">
          <w:pPr>
            <w:numPr>
              <w:ilvl w:val="0"/>
              <w:numId w:val="0"/>
            </w:numPr>
            <w:spacing w:before="120"/>
            <w:ind w:right="57"/>
            <w:rPr>
              <w:b/>
              <w:i/>
              <w:sz w:val="18"/>
            </w:rPr>
          </w:pPr>
          <w:r>
            <w:rPr>
              <w:b/>
              <w:i/>
              <w:sz w:val="18"/>
            </w:rPr>
            <w:t>November 2016</w:t>
          </w:r>
        </w:p>
      </w:tc>
      <w:tc>
        <w:tcPr>
          <w:tcW w:w="2145" w:type="dxa"/>
        </w:tcPr>
        <w:p w:rsidR="00674F71" w:rsidRDefault="00674F71" w:rsidP="00B56ED8">
          <w:pPr>
            <w:numPr>
              <w:ilvl w:val="0"/>
              <w:numId w:val="0"/>
            </w:numPr>
            <w:spacing w:before="60" w:after="60"/>
            <w:ind w:left="57" w:right="57"/>
            <w:jc w:val="center"/>
            <w:rPr>
              <w:b/>
              <w:i/>
              <w:sz w:val="18"/>
            </w:rPr>
          </w:pPr>
          <w:r w:rsidRPr="000733DA">
            <w:rPr>
              <w:b/>
              <w:i/>
              <w:sz w:val="18"/>
            </w:rPr>
            <w:t xml:space="preserve">Page </w:t>
          </w:r>
          <w:r w:rsidRPr="000733DA">
            <w:rPr>
              <w:b/>
              <w:i/>
              <w:sz w:val="18"/>
            </w:rPr>
            <w:fldChar w:fldCharType="begin"/>
          </w:r>
          <w:r w:rsidRPr="000733DA">
            <w:rPr>
              <w:b/>
              <w:i/>
              <w:sz w:val="18"/>
            </w:rPr>
            <w:instrText xml:space="preserve"> PAGE </w:instrText>
          </w:r>
          <w:r w:rsidRPr="000733DA">
            <w:rPr>
              <w:b/>
              <w:i/>
              <w:sz w:val="18"/>
            </w:rPr>
            <w:fldChar w:fldCharType="separate"/>
          </w:r>
          <w:r w:rsidR="0039363A">
            <w:rPr>
              <w:b/>
              <w:i/>
              <w:noProof/>
              <w:sz w:val="18"/>
            </w:rPr>
            <w:t>30</w:t>
          </w:r>
          <w:r w:rsidRPr="000733DA">
            <w:rPr>
              <w:b/>
              <w:i/>
              <w:sz w:val="18"/>
            </w:rPr>
            <w:fldChar w:fldCharType="end"/>
          </w:r>
          <w:r w:rsidRPr="000733DA">
            <w:rPr>
              <w:b/>
              <w:i/>
              <w:sz w:val="18"/>
            </w:rPr>
            <w:t xml:space="preserve"> of </w:t>
          </w:r>
          <w:r w:rsidRPr="000733DA">
            <w:rPr>
              <w:b/>
              <w:i/>
              <w:sz w:val="18"/>
            </w:rPr>
            <w:fldChar w:fldCharType="begin"/>
          </w:r>
          <w:r w:rsidRPr="000733DA">
            <w:rPr>
              <w:b/>
              <w:i/>
              <w:sz w:val="18"/>
            </w:rPr>
            <w:instrText xml:space="preserve"> NUMPAGES </w:instrText>
          </w:r>
          <w:r w:rsidRPr="000733DA">
            <w:rPr>
              <w:b/>
              <w:i/>
              <w:sz w:val="18"/>
            </w:rPr>
            <w:fldChar w:fldCharType="separate"/>
          </w:r>
          <w:r w:rsidR="0039363A">
            <w:rPr>
              <w:b/>
              <w:i/>
              <w:noProof/>
              <w:sz w:val="18"/>
            </w:rPr>
            <w:t>30</w:t>
          </w:r>
          <w:r w:rsidRPr="000733DA">
            <w:rPr>
              <w:b/>
              <w:i/>
              <w:sz w:val="18"/>
            </w:rPr>
            <w:fldChar w:fldCharType="end"/>
          </w:r>
        </w:p>
      </w:tc>
    </w:tr>
  </w:tbl>
  <w:p w:rsidR="00674F71" w:rsidRPr="006413DA" w:rsidRDefault="00674F71" w:rsidP="008C2F0B">
    <w:pPr>
      <w:numPr>
        <w:ilvl w:val="0"/>
        <w:numId w:val="0"/>
      </w:numPr>
      <w:ind w:left="14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F71" w:rsidRDefault="00674F71" w:rsidP="00DB4F58">
      <w:r>
        <w:separator/>
      </w:r>
    </w:p>
  </w:footnote>
  <w:footnote w:type="continuationSeparator" w:id="0">
    <w:p w:rsidR="00674F71" w:rsidRDefault="00674F71" w:rsidP="00DB4F58">
      <w:r>
        <w:continuationSeparator/>
      </w:r>
    </w:p>
  </w:footnote>
  <w:footnote w:type="continuationNotice" w:id="1">
    <w:p w:rsidR="00674F71" w:rsidRDefault="00674F71" w:rsidP="00F8558A"/>
  </w:footnote>
  <w:footnote w:id="2">
    <w:p w:rsidR="00674F71" w:rsidRDefault="00674F71" w:rsidP="00DB4F58">
      <w:r>
        <w:rPr>
          <w:rStyle w:val="FootnoteReference"/>
        </w:rPr>
        <w:footnoteRef/>
      </w:r>
      <w:r>
        <w:t xml:space="preserve"> </w:t>
      </w:r>
      <w:r w:rsidRPr="00AE6140">
        <w:rPr>
          <w:lang w:eastAsia="en-ZA"/>
        </w:rPr>
        <w:t xml:space="preserve">. </w:t>
      </w:r>
      <w:r>
        <w:rPr>
          <w:lang w:eastAsia="en-ZA"/>
        </w:rPr>
        <w:t>Position Paper on Historical Information Critical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F71" w:rsidRPr="00E92612" w:rsidRDefault="00674F71" w:rsidP="00E92612">
    <w:pPr>
      <w:pStyle w:val="Header"/>
      <w:numPr>
        <w:ilvl w:val="0"/>
        <w:numId w:val="0"/>
      </w:numPr>
      <w:pBdr>
        <w:bottom w:val="single" w:sz="18" w:space="1" w:color="BF8F00" w:themeColor="accent4" w:themeShade="BF"/>
      </w:pBdr>
      <w:jc w:val="center"/>
      <w:rPr>
        <w:rFonts w:ascii="Arial" w:hAnsi="Arial"/>
        <w:sz w:val="16"/>
        <w:szCs w:val="16"/>
      </w:rPr>
    </w:pPr>
    <w:proofErr w:type="spellStart"/>
    <w:proofErr w:type="gramStart"/>
    <w:r w:rsidRPr="00E92612">
      <w:rPr>
        <w:rFonts w:ascii="Arial" w:hAnsi="Arial"/>
        <w:b/>
        <w:bCs/>
        <w:sz w:val="16"/>
        <w:szCs w:val="16"/>
      </w:rPr>
      <w:t>mSCOA</w:t>
    </w:r>
    <w:proofErr w:type="spellEnd"/>
    <w:proofErr w:type="gramEnd"/>
    <w:r w:rsidRPr="00E92612">
      <w:rPr>
        <w:rFonts w:ascii="Arial" w:hAnsi="Arial"/>
        <w:b/>
        <w:bCs/>
        <w:sz w:val="16"/>
        <w:szCs w:val="16"/>
      </w:rPr>
      <w:t xml:space="preserve"> Draft Position Paper: The Role of the Internal Auditor in System Conversion for </w:t>
    </w:r>
    <w:proofErr w:type="spellStart"/>
    <w:r w:rsidRPr="00E92612">
      <w:rPr>
        <w:rFonts w:ascii="Arial" w:hAnsi="Arial"/>
        <w:b/>
        <w:bCs/>
        <w:i/>
        <w:sz w:val="16"/>
        <w:szCs w:val="16"/>
      </w:rPr>
      <w:t>m</w:t>
    </w:r>
    <w:r w:rsidRPr="00E92612">
      <w:rPr>
        <w:rFonts w:ascii="Arial" w:hAnsi="Arial"/>
        <w:b/>
        <w:bCs/>
        <w:sz w:val="16"/>
        <w:szCs w:val="16"/>
      </w:rPr>
      <w:t>SCOA</w:t>
    </w:r>
    <w:proofErr w:type="spellEnd"/>
    <w:r w:rsidRPr="00E92612">
      <w:rPr>
        <w:rFonts w:ascii="Arial" w:hAnsi="Arial"/>
        <w:b/>
        <w:bCs/>
        <w:sz w:val="16"/>
        <w:szCs w:val="16"/>
      </w:rPr>
      <w:t xml:space="preserve"> implementation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000" w:firstRow="0" w:lastRow="0" w:firstColumn="0" w:lastColumn="0" w:noHBand="0" w:noVBand="0"/>
    </w:tblPr>
    <w:tblGrid>
      <w:gridCol w:w="2088"/>
      <w:gridCol w:w="7199"/>
    </w:tblGrid>
    <w:tr w:rsidR="00674F71" w:rsidTr="00674F71">
      <w:trPr>
        <w:cantSplit/>
      </w:trPr>
      <w:tc>
        <w:tcPr>
          <w:tcW w:w="2088" w:type="dxa"/>
          <w:vMerge w:val="restart"/>
        </w:tcPr>
        <w:p w:rsidR="00674F71" w:rsidRDefault="00674F71" w:rsidP="002137F0">
          <w:pPr>
            <w:pStyle w:val="Header"/>
            <w:numPr>
              <w:ilvl w:val="0"/>
              <w:numId w:val="0"/>
            </w:numPr>
            <w:ind w:left="567"/>
          </w:pPr>
          <w:r>
            <w:rPr>
              <w:noProof/>
              <w:lang w:eastAsia="en-ZA"/>
            </w:rPr>
            <w:drawing>
              <wp:anchor distT="0" distB="0" distL="114300" distR="114300" simplePos="0" relativeHeight="251660288" behindDoc="0" locked="0" layoutInCell="1" allowOverlap="1" wp14:anchorId="70F0B1B4" wp14:editId="5CDE2E64">
                <wp:simplePos x="0" y="0"/>
                <wp:positionH relativeFrom="column">
                  <wp:posOffset>0</wp:posOffset>
                </wp:positionH>
                <wp:positionV relativeFrom="page">
                  <wp:posOffset>4445</wp:posOffset>
                </wp:positionV>
                <wp:extent cx="1192530" cy="133223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2530" cy="13322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199" w:type="dxa"/>
          <w:tcBorders>
            <w:bottom w:val="threeDEmboss" w:sz="12" w:space="0" w:color="FFFFFF"/>
          </w:tcBorders>
          <w:shd w:val="clear" w:color="auto" w:fill="996600"/>
        </w:tcPr>
        <w:p w:rsidR="00674F71" w:rsidRDefault="00674F71" w:rsidP="002137F0">
          <w:pPr>
            <w:pStyle w:val="Heading3"/>
            <w:spacing w:before="60" w:after="60"/>
            <w:ind w:right="57"/>
            <w:rPr>
              <w:smallCaps/>
              <w:color w:val="FFFFFF"/>
              <w:spacing w:val="40"/>
            </w:rPr>
          </w:pPr>
          <w:r>
            <w:rPr>
              <w:smallCaps/>
              <w:color w:val="FFFFFF"/>
              <w:spacing w:val="40"/>
            </w:rPr>
            <w:t>National Treasury</w:t>
          </w:r>
        </w:p>
      </w:tc>
    </w:tr>
    <w:tr w:rsidR="00674F71" w:rsidRPr="00C10227" w:rsidTr="00674F71">
      <w:trPr>
        <w:cantSplit/>
      </w:trPr>
      <w:tc>
        <w:tcPr>
          <w:tcW w:w="2088" w:type="dxa"/>
          <w:vMerge/>
        </w:tcPr>
        <w:p w:rsidR="00674F71" w:rsidRDefault="00674F71" w:rsidP="002137F0">
          <w:pPr>
            <w:pStyle w:val="Header"/>
          </w:pPr>
        </w:p>
      </w:tc>
      <w:tc>
        <w:tcPr>
          <w:tcW w:w="7199" w:type="dxa"/>
          <w:tcBorders>
            <w:top w:val="threeDEmboss" w:sz="12" w:space="0" w:color="FFFFFF"/>
          </w:tcBorders>
          <w:shd w:val="clear" w:color="auto" w:fill="CC9900"/>
          <w:vAlign w:val="center"/>
        </w:tcPr>
        <w:p w:rsidR="00674F71" w:rsidRPr="00D80CED" w:rsidRDefault="00674F71" w:rsidP="002137F0">
          <w:pPr>
            <w:spacing w:before="60"/>
            <w:ind w:left="58" w:right="58"/>
            <w:rPr>
              <w:b/>
              <w:bCs/>
              <w:sz w:val="28"/>
            </w:rPr>
          </w:pPr>
          <w:proofErr w:type="spellStart"/>
          <w:r w:rsidRPr="00D80CED">
            <w:rPr>
              <w:b/>
              <w:bCs/>
              <w:sz w:val="28"/>
            </w:rPr>
            <w:t>mSCOA</w:t>
          </w:r>
          <w:proofErr w:type="spellEnd"/>
          <w:r w:rsidRPr="00D80CED">
            <w:rPr>
              <w:b/>
              <w:bCs/>
              <w:sz w:val="28"/>
            </w:rPr>
            <w:t xml:space="preserve"> </w:t>
          </w:r>
          <w:r>
            <w:rPr>
              <w:b/>
              <w:bCs/>
              <w:sz w:val="28"/>
            </w:rPr>
            <w:t xml:space="preserve">Draft </w:t>
          </w:r>
          <w:r w:rsidRPr="00D80CED">
            <w:rPr>
              <w:b/>
              <w:bCs/>
              <w:sz w:val="28"/>
            </w:rPr>
            <w:t xml:space="preserve">Position Paper: </w:t>
          </w:r>
          <w:r>
            <w:rPr>
              <w:b/>
              <w:bCs/>
              <w:sz w:val="28"/>
            </w:rPr>
            <w:t xml:space="preserve">The Role of the Internal Auditor in System Conversion for </w:t>
          </w:r>
          <w:proofErr w:type="spellStart"/>
          <w:r w:rsidRPr="002137F0">
            <w:rPr>
              <w:b/>
              <w:bCs/>
              <w:i/>
              <w:sz w:val="28"/>
            </w:rPr>
            <w:t>m</w:t>
          </w:r>
          <w:r>
            <w:rPr>
              <w:b/>
              <w:bCs/>
              <w:sz w:val="28"/>
            </w:rPr>
            <w:t>SCOA</w:t>
          </w:r>
          <w:proofErr w:type="spellEnd"/>
          <w:r>
            <w:rPr>
              <w:b/>
              <w:bCs/>
              <w:sz w:val="28"/>
            </w:rPr>
            <w:t xml:space="preserve"> implementation</w:t>
          </w:r>
        </w:p>
      </w:tc>
    </w:tr>
    <w:tr w:rsidR="00674F71" w:rsidTr="00674F71">
      <w:trPr>
        <w:cantSplit/>
      </w:trPr>
      <w:tc>
        <w:tcPr>
          <w:tcW w:w="2088" w:type="dxa"/>
          <w:vMerge/>
        </w:tcPr>
        <w:p w:rsidR="00674F71" w:rsidRDefault="00674F71" w:rsidP="002137F0">
          <w:pPr>
            <w:pStyle w:val="Header"/>
          </w:pPr>
        </w:p>
      </w:tc>
      <w:tc>
        <w:tcPr>
          <w:tcW w:w="7199" w:type="dxa"/>
        </w:tcPr>
        <w:p w:rsidR="00674F71" w:rsidRDefault="00674F71" w:rsidP="002137F0">
          <w:pPr>
            <w:pStyle w:val="Heading1"/>
            <w:ind w:left="180"/>
          </w:pPr>
        </w:p>
      </w:tc>
    </w:tr>
  </w:tbl>
  <w:p w:rsidR="00674F71" w:rsidRDefault="00674F71" w:rsidP="002137F0">
    <w:pPr>
      <w:pStyle w:val="Header"/>
      <w:numPr>
        <w:ilvl w:val="0"/>
        <w:numId w:val="0"/>
      </w:numPr>
      <w:tabs>
        <w:tab w:val="clear" w:pos="4513"/>
        <w:tab w:val="clear" w:pos="9026"/>
      </w:tabs>
      <w:rPr>
        <w:rStyle w:val="BookTitle"/>
        <w:b w:val="0"/>
        <w:bCs w:val="0"/>
        <w:i w:val="0"/>
        <w:iCs w:val="0"/>
        <w:spacing w:val="0"/>
      </w:rPr>
    </w:pPr>
  </w:p>
  <w:p w:rsidR="00674F71" w:rsidRPr="002137F0" w:rsidRDefault="00674F71" w:rsidP="002137F0">
    <w:pPr>
      <w:pStyle w:val="Header"/>
      <w:numPr>
        <w:ilvl w:val="0"/>
        <w:numId w:val="0"/>
      </w:numPr>
      <w:tabs>
        <w:tab w:val="clear" w:pos="4513"/>
        <w:tab w:val="clear" w:pos="9026"/>
      </w:tabs>
      <w:rPr>
        <w:rStyle w:val="BookTitle"/>
        <w:b w:val="0"/>
        <w:bCs w:val="0"/>
        <w:i w:val="0"/>
        <w:iCs w:val="0"/>
        <w:spacing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F71" w:rsidRPr="00E92612" w:rsidRDefault="00674F71" w:rsidP="00E92612">
    <w:pPr>
      <w:pStyle w:val="Header"/>
      <w:numPr>
        <w:ilvl w:val="0"/>
        <w:numId w:val="0"/>
      </w:numPr>
      <w:pBdr>
        <w:bottom w:val="single" w:sz="18" w:space="1" w:color="BF8F00" w:themeColor="accent4" w:themeShade="BF"/>
      </w:pBdr>
      <w:ind w:left="567"/>
      <w:rPr>
        <w:rStyle w:val="BookTitle"/>
        <w:rFonts w:ascii="Arial" w:hAnsi="Arial"/>
        <w:b w:val="0"/>
        <w:bCs w:val="0"/>
        <w:i w:val="0"/>
        <w:iCs w:val="0"/>
        <w:spacing w:val="0"/>
        <w:sz w:val="16"/>
        <w:szCs w:val="16"/>
      </w:rPr>
    </w:pPr>
    <w:proofErr w:type="spellStart"/>
    <w:proofErr w:type="gramStart"/>
    <w:r w:rsidRPr="00E92612">
      <w:rPr>
        <w:rFonts w:ascii="Arial" w:hAnsi="Arial"/>
        <w:b/>
        <w:bCs/>
        <w:sz w:val="16"/>
        <w:szCs w:val="16"/>
      </w:rPr>
      <w:t>mSCOA</w:t>
    </w:r>
    <w:proofErr w:type="spellEnd"/>
    <w:proofErr w:type="gramEnd"/>
    <w:r w:rsidRPr="00E92612">
      <w:rPr>
        <w:rFonts w:ascii="Arial" w:hAnsi="Arial"/>
        <w:b/>
        <w:bCs/>
        <w:sz w:val="16"/>
        <w:szCs w:val="16"/>
      </w:rPr>
      <w:t xml:space="preserve"> Draft Position Paper: The Role of the Internal Auditor in System Conversion for </w:t>
    </w:r>
    <w:proofErr w:type="spellStart"/>
    <w:r w:rsidRPr="00E92612">
      <w:rPr>
        <w:rFonts w:ascii="Arial" w:hAnsi="Arial"/>
        <w:b/>
        <w:bCs/>
        <w:i/>
        <w:sz w:val="16"/>
        <w:szCs w:val="16"/>
      </w:rPr>
      <w:t>m</w:t>
    </w:r>
    <w:r w:rsidRPr="00E92612">
      <w:rPr>
        <w:rFonts w:ascii="Arial" w:hAnsi="Arial"/>
        <w:b/>
        <w:bCs/>
        <w:sz w:val="16"/>
        <w:szCs w:val="16"/>
      </w:rPr>
      <w:t>SCOA</w:t>
    </w:r>
    <w:proofErr w:type="spellEnd"/>
    <w:r w:rsidRPr="00E92612">
      <w:rPr>
        <w:rFonts w:ascii="Arial" w:hAnsi="Arial"/>
        <w:b/>
        <w:bCs/>
        <w:sz w:val="16"/>
        <w:szCs w:val="16"/>
      </w:rPr>
      <w:t xml:space="preserve"> implementation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5624C"/>
    <w:multiLevelType w:val="multilevel"/>
    <w:tmpl w:val="A008DD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71C5295"/>
    <w:multiLevelType w:val="hybridMultilevel"/>
    <w:tmpl w:val="E8C67D9C"/>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21E75CF3"/>
    <w:multiLevelType w:val="multilevel"/>
    <w:tmpl w:val="550AE9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3604064"/>
    <w:multiLevelType w:val="hybridMultilevel"/>
    <w:tmpl w:val="974257CA"/>
    <w:lvl w:ilvl="0" w:tplc="57A24D62">
      <w:start w:val="1"/>
      <w:numFmt w:val="decimal"/>
      <w:pStyle w:val="Normal"/>
      <w:lvlText w:val="%1."/>
      <w:lvlJc w:val="center"/>
      <w:pPr>
        <w:ind w:left="360" w:hanging="360"/>
      </w:pPr>
      <w:rPr>
        <w:rFonts w:ascii="Calibri" w:hAnsi="Calibri" w:hint="default"/>
        <w:b w:val="0"/>
        <w:i w:val="0"/>
        <w:sz w:val="22"/>
      </w:rPr>
    </w:lvl>
    <w:lvl w:ilvl="1" w:tplc="6E2CE8DA">
      <w:start w:val="1"/>
      <w:numFmt w:val="bullet"/>
      <w:pStyle w:val="ListParagraph"/>
      <w:lvlText w:val=""/>
      <w:lvlJc w:val="left"/>
      <w:pPr>
        <w:ind w:left="1222" w:hanging="360"/>
      </w:pPr>
      <w:rPr>
        <w:rFonts w:ascii="Symbol" w:hAnsi="Symbol" w:hint="default"/>
      </w:rPr>
    </w:lvl>
    <w:lvl w:ilvl="2" w:tplc="1C09001B">
      <w:start w:val="1"/>
      <w:numFmt w:val="lowerRoman"/>
      <w:lvlText w:val="%3."/>
      <w:lvlJc w:val="right"/>
      <w:pPr>
        <w:ind w:left="895" w:hanging="180"/>
      </w:pPr>
    </w:lvl>
    <w:lvl w:ilvl="3" w:tplc="1C090005">
      <w:start w:val="1"/>
      <w:numFmt w:val="bullet"/>
      <w:lvlText w:val=""/>
      <w:lvlJc w:val="left"/>
      <w:pPr>
        <w:ind w:left="1615" w:hanging="360"/>
      </w:pPr>
      <w:rPr>
        <w:rFonts w:ascii="Wingdings" w:hAnsi="Wingdings" w:hint="default"/>
      </w:rPr>
    </w:lvl>
    <w:lvl w:ilvl="4" w:tplc="1C090019" w:tentative="1">
      <w:start w:val="1"/>
      <w:numFmt w:val="lowerLetter"/>
      <w:lvlText w:val="%5."/>
      <w:lvlJc w:val="left"/>
      <w:pPr>
        <w:ind w:left="2335" w:hanging="360"/>
      </w:pPr>
    </w:lvl>
    <w:lvl w:ilvl="5" w:tplc="1C09001B" w:tentative="1">
      <w:start w:val="1"/>
      <w:numFmt w:val="lowerRoman"/>
      <w:lvlText w:val="%6."/>
      <w:lvlJc w:val="right"/>
      <w:pPr>
        <w:ind w:left="3055" w:hanging="180"/>
      </w:pPr>
    </w:lvl>
    <w:lvl w:ilvl="6" w:tplc="1C09000F" w:tentative="1">
      <w:start w:val="1"/>
      <w:numFmt w:val="decimal"/>
      <w:lvlText w:val="%7."/>
      <w:lvlJc w:val="left"/>
      <w:pPr>
        <w:ind w:left="3775" w:hanging="360"/>
      </w:pPr>
    </w:lvl>
    <w:lvl w:ilvl="7" w:tplc="1C090019" w:tentative="1">
      <w:start w:val="1"/>
      <w:numFmt w:val="lowerLetter"/>
      <w:lvlText w:val="%8."/>
      <w:lvlJc w:val="left"/>
      <w:pPr>
        <w:ind w:left="4495" w:hanging="360"/>
      </w:pPr>
    </w:lvl>
    <w:lvl w:ilvl="8" w:tplc="1C09001B" w:tentative="1">
      <w:start w:val="1"/>
      <w:numFmt w:val="lowerRoman"/>
      <w:lvlText w:val="%9."/>
      <w:lvlJc w:val="right"/>
      <w:pPr>
        <w:ind w:left="5215" w:hanging="180"/>
      </w:pPr>
    </w:lvl>
  </w:abstractNum>
  <w:abstractNum w:abstractNumId="4" w15:restartNumberingAfterBreak="0">
    <w:nsid w:val="2A885546"/>
    <w:multiLevelType w:val="hybridMultilevel"/>
    <w:tmpl w:val="52FCE368"/>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2E285DD7"/>
    <w:multiLevelType w:val="hybridMultilevel"/>
    <w:tmpl w:val="43F6C300"/>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3B112E11"/>
    <w:multiLevelType w:val="hybridMultilevel"/>
    <w:tmpl w:val="E72285BC"/>
    <w:lvl w:ilvl="0" w:tplc="8140ECF4">
      <w:numFmt w:val="bullet"/>
      <w:lvlText w:val=""/>
      <w:lvlJc w:val="left"/>
      <w:pPr>
        <w:ind w:left="720" w:hanging="360"/>
      </w:pPr>
      <w:rPr>
        <w:rFonts w:ascii="Symbol" w:eastAsia="Century Gothic" w:hAnsi="Symbol" w:cs="Aria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42130482"/>
    <w:multiLevelType w:val="hybridMultilevel"/>
    <w:tmpl w:val="5FBE5A5C"/>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15:restartNumberingAfterBreak="0">
    <w:nsid w:val="4AC645A2"/>
    <w:multiLevelType w:val="hybridMultilevel"/>
    <w:tmpl w:val="27C88618"/>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15:restartNumberingAfterBreak="0">
    <w:nsid w:val="52C23289"/>
    <w:multiLevelType w:val="hybridMultilevel"/>
    <w:tmpl w:val="DD105E92"/>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15:restartNumberingAfterBreak="0">
    <w:nsid w:val="56274BD2"/>
    <w:multiLevelType w:val="hybridMultilevel"/>
    <w:tmpl w:val="E56606C2"/>
    <w:lvl w:ilvl="0" w:tplc="6AE407A2">
      <w:start w:val="1"/>
      <w:numFmt w:val="decimal"/>
      <w:lvlText w:val="%1."/>
      <w:lvlJc w:val="center"/>
      <w:pPr>
        <w:ind w:left="360" w:hanging="360"/>
      </w:pPr>
      <w:rPr>
        <w:rFonts w:ascii="Calibri" w:hAnsi="Calibri" w:hint="default"/>
        <w:b w:val="0"/>
        <w:i w:val="0"/>
        <w:sz w:val="22"/>
      </w:rPr>
    </w:lvl>
    <w:lvl w:ilvl="1" w:tplc="6E2CE8DA">
      <w:start w:val="1"/>
      <w:numFmt w:val="bullet"/>
      <w:lvlText w:val=""/>
      <w:lvlJc w:val="left"/>
      <w:pPr>
        <w:ind w:left="1222" w:hanging="360"/>
      </w:pPr>
      <w:rPr>
        <w:rFonts w:ascii="Symbol" w:hAnsi="Symbol" w:hint="default"/>
      </w:rPr>
    </w:lvl>
    <w:lvl w:ilvl="2" w:tplc="1C09001B">
      <w:start w:val="1"/>
      <w:numFmt w:val="lowerRoman"/>
      <w:lvlText w:val="%3."/>
      <w:lvlJc w:val="right"/>
      <w:pPr>
        <w:ind w:left="895" w:hanging="180"/>
      </w:pPr>
    </w:lvl>
    <w:lvl w:ilvl="3" w:tplc="1C090001">
      <w:start w:val="1"/>
      <w:numFmt w:val="bullet"/>
      <w:lvlText w:val=""/>
      <w:lvlJc w:val="left"/>
      <w:pPr>
        <w:ind w:left="1615" w:hanging="360"/>
      </w:pPr>
      <w:rPr>
        <w:rFonts w:ascii="Symbol" w:hAnsi="Symbol" w:hint="default"/>
      </w:rPr>
    </w:lvl>
    <w:lvl w:ilvl="4" w:tplc="1C090019" w:tentative="1">
      <w:start w:val="1"/>
      <w:numFmt w:val="lowerLetter"/>
      <w:lvlText w:val="%5."/>
      <w:lvlJc w:val="left"/>
      <w:pPr>
        <w:ind w:left="2335" w:hanging="360"/>
      </w:pPr>
    </w:lvl>
    <w:lvl w:ilvl="5" w:tplc="1C09001B" w:tentative="1">
      <w:start w:val="1"/>
      <w:numFmt w:val="lowerRoman"/>
      <w:lvlText w:val="%6."/>
      <w:lvlJc w:val="right"/>
      <w:pPr>
        <w:ind w:left="3055" w:hanging="180"/>
      </w:pPr>
    </w:lvl>
    <w:lvl w:ilvl="6" w:tplc="1C09000F" w:tentative="1">
      <w:start w:val="1"/>
      <w:numFmt w:val="decimal"/>
      <w:lvlText w:val="%7."/>
      <w:lvlJc w:val="left"/>
      <w:pPr>
        <w:ind w:left="3775" w:hanging="360"/>
      </w:pPr>
    </w:lvl>
    <w:lvl w:ilvl="7" w:tplc="1C090019" w:tentative="1">
      <w:start w:val="1"/>
      <w:numFmt w:val="lowerLetter"/>
      <w:lvlText w:val="%8."/>
      <w:lvlJc w:val="left"/>
      <w:pPr>
        <w:ind w:left="4495" w:hanging="360"/>
      </w:pPr>
    </w:lvl>
    <w:lvl w:ilvl="8" w:tplc="1C09001B" w:tentative="1">
      <w:start w:val="1"/>
      <w:numFmt w:val="lowerRoman"/>
      <w:lvlText w:val="%9."/>
      <w:lvlJc w:val="right"/>
      <w:pPr>
        <w:ind w:left="5215" w:hanging="180"/>
      </w:pPr>
    </w:lvl>
  </w:abstractNum>
  <w:abstractNum w:abstractNumId="11" w15:restartNumberingAfterBreak="0">
    <w:nsid w:val="575C24B7"/>
    <w:multiLevelType w:val="hybridMultilevel"/>
    <w:tmpl w:val="F84AD848"/>
    <w:lvl w:ilvl="0" w:tplc="FFFFFFFF">
      <w:start w:val="1"/>
      <w:numFmt w:val="decimal"/>
      <w:lvlText w:val="%1."/>
      <w:lvlJc w:val="left"/>
      <w:pPr>
        <w:ind w:left="360" w:hanging="360"/>
      </w:pPr>
    </w:lvl>
    <w:lvl w:ilvl="1" w:tplc="1C090001">
      <w:start w:val="1"/>
      <w:numFmt w:val="bullet"/>
      <w:lvlText w:val=""/>
      <w:lvlJc w:val="left"/>
      <w:pPr>
        <w:ind w:left="228" w:hanging="360"/>
      </w:pPr>
      <w:rPr>
        <w:rFonts w:ascii="Symbol" w:hAnsi="Symbol" w:hint="default"/>
      </w:rPr>
    </w:lvl>
    <w:lvl w:ilvl="2" w:tplc="FB5C984E">
      <w:start w:val="1"/>
      <w:numFmt w:val="bullet"/>
      <w:lvlText w:val=""/>
      <w:lvlJc w:val="left"/>
      <w:pPr>
        <w:ind w:left="180" w:hanging="180"/>
      </w:pPr>
      <w:rPr>
        <w:rFonts w:ascii="Wingdings" w:hAnsi="Wingdings" w:hint="default"/>
      </w:rPr>
    </w:lvl>
    <w:lvl w:ilvl="3" w:tplc="CDA85CD8">
      <w:start w:val="1"/>
      <w:numFmt w:val="bullet"/>
      <w:lvlText w:val=""/>
      <w:lvlJc w:val="left"/>
      <w:pPr>
        <w:ind w:left="1668" w:hanging="360"/>
      </w:pPr>
      <w:rPr>
        <w:rFonts w:ascii="Symbol" w:hAnsi="Symbol" w:hint="default"/>
      </w:rPr>
    </w:lvl>
    <w:lvl w:ilvl="4" w:tplc="E5F203C2">
      <w:start w:val="1"/>
      <w:numFmt w:val="bullet"/>
      <w:lvlText w:val="o"/>
      <w:lvlJc w:val="left"/>
      <w:pPr>
        <w:ind w:left="2388" w:hanging="360"/>
      </w:pPr>
      <w:rPr>
        <w:rFonts w:ascii="Courier New" w:hAnsi="Courier New" w:hint="default"/>
      </w:rPr>
    </w:lvl>
    <w:lvl w:ilvl="5" w:tplc="1C09001B" w:tentative="1">
      <w:start w:val="1"/>
      <w:numFmt w:val="lowerRoman"/>
      <w:lvlText w:val="%6."/>
      <w:lvlJc w:val="right"/>
      <w:pPr>
        <w:ind w:left="3108" w:hanging="180"/>
      </w:pPr>
    </w:lvl>
    <w:lvl w:ilvl="6" w:tplc="1C09000F" w:tentative="1">
      <w:start w:val="1"/>
      <w:numFmt w:val="decimal"/>
      <w:lvlText w:val="%7."/>
      <w:lvlJc w:val="left"/>
      <w:pPr>
        <w:ind w:left="3828" w:hanging="360"/>
      </w:pPr>
    </w:lvl>
    <w:lvl w:ilvl="7" w:tplc="1C090019" w:tentative="1">
      <w:start w:val="1"/>
      <w:numFmt w:val="lowerLetter"/>
      <w:lvlText w:val="%8."/>
      <w:lvlJc w:val="left"/>
      <w:pPr>
        <w:ind w:left="4548" w:hanging="360"/>
      </w:pPr>
    </w:lvl>
    <w:lvl w:ilvl="8" w:tplc="1C09001B" w:tentative="1">
      <w:start w:val="1"/>
      <w:numFmt w:val="lowerRoman"/>
      <w:lvlText w:val="%9."/>
      <w:lvlJc w:val="right"/>
      <w:pPr>
        <w:ind w:left="5268" w:hanging="180"/>
      </w:pPr>
    </w:lvl>
  </w:abstractNum>
  <w:abstractNum w:abstractNumId="12" w15:restartNumberingAfterBreak="0">
    <w:nsid w:val="6B851595"/>
    <w:multiLevelType w:val="hybridMultilevel"/>
    <w:tmpl w:val="43F6C300"/>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15:restartNumberingAfterBreak="0">
    <w:nsid w:val="6ED65F21"/>
    <w:multiLevelType w:val="hybridMultilevel"/>
    <w:tmpl w:val="66FC449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7047221E"/>
    <w:multiLevelType w:val="hybridMultilevel"/>
    <w:tmpl w:val="BBA896CA"/>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15:restartNumberingAfterBreak="0">
    <w:nsid w:val="754931B9"/>
    <w:multiLevelType w:val="hybridMultilevel"/>
    <w:tmpl w:val="8EFE1BBE"/>
    <w:lvl w:ilvl="0" w:tplc="1C09000B">
      <w:start w:val="1"/>
      <w:numFmt w:val="bullet"/>
      <w:lvlText w:val=""/>
      <w:lvlJc w:val="left"/>
      <w:pPr>
        <w:ind w:left="502" w:hanging="360"/>
      </w:pPr>
      <w:rPr>
        <w:rFonts w:ascii="Wingdings" w:hAnsi="Wingdings"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num w:numId="1">
    <w:abstractNumId w:val="14"/>
  </w:num>
  <w:num w:numId="2">
    <w:abstractNumId w:val="15"/>
  </w:num>
  <w:num w:numId="3">
    <w:abstractNumId w:val="4"/>
  </w:num>
  <w:num w:numId="4">
    <w:abstractNumId w:val="1"/>
  </w:num>
  <w:num w:numId="5">
    <w:abstractNumId w:val="8"/>
  </w:num>
  <w:num w:numId="6">
    <w:abstractNumId w:val="9"/>
  </w:num>
  <w:num w:numId="7">
    <w:abstractNumId w:val="12"/>
  </w:num>
  <w:num w:numId="8">
    <w:abstractNumId w:val="5"/>
  </w:num>
  <w:num w:numId="9">
    <w:abstractNumId w:val="7"/>
  </w:num>
  <w:num w:numId="10">
    <w:abstractNumId w:val="6"/>
  </w:num>
  <w:num w:numId="11">
    <w:abstractNumId w:val="3"/>
  </w:num>
  <w:num w:numId="12">
    <w:abstractNumId w:val="3"/>
    <w:lvlOverride w:ilvl="0">
      <w:startOverride w:val="1"/>
    </w:lvlOverride>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11"/>
  </w:num>
  <w:num w:numId="39">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40"/>
  <w:displayHorizontalDrawingGridEvery w:val="2"/>
  <w:characterSpacingControl w:val="doNotCompress"/>
  <w:hdrShapeDefaults>
    <o:shapedefaults v:ext="edit" spidmax="71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B88"/>
    <w:rsid w:val="000006BD"/>
    <w:rsid w:val="000021B8"/>
    <w:rsid w:val="00004079"/>
    <w:rsid w:val="00010887"/>
    <w:rsid w:val="00010A86"/>
    <w:rsid w:val="00012EB4"/>
    <w:rsid w:val="000130E6"/>
    <w:rsid w:val="00013731"/>
    <w:rsid w:val="00021A11"/>
    <w:rsid w:val="00026809"/>
    <w:rsid w:val="00036320"/>
    <w:rsid w:val="000558CF"/>
    <w:rsid w:val="00074CF6"/>
    <w:rsid w:val="00076D1C"/>
    <w:rsid w:val="000801CD"/>
    <w:rsid w:val="00087BDB"/>
    <w:rsid w:val="00092F74"/>
    <w:rsid w:val="000A3DDB"/>
    <w:rsid w:val="000A7055"/>
    <w:rsid w:val="000A7B8E"/>
    <w:rsid w:val="000B67F6"/>
    <w:rsid w:val="000B6997"/>
    <w:rsid w:val="000C2575"/>
    <w:rsid w:val="000C30DE"/>
    <w:rsid w:val="000D04B3"/>
    <w:rsid w:val="000D052B"/>
    <w:rsid w:val="000D60C7"/>
    <w:rsid w:val="000E2A65"/>
    <w:rsid w:val="000E2B6C"/>
    <w:rsid w:val="000F012D"/>
    <w:rsid w:val="00111C1B"/>
    <w:rsid w:val="00130593"/>
    <w:rsid w:val="00142EF1"/>
    <w:rsid w:val="00144F2B"/>
    <w:rsid w:val="00145247"/>
    <w:rsid w:val="00151049"/>
    <w:rsid w:val="00154C56"/>
    <w:rsid w:val="00160775"/>
    <w:rsid w:val="0016393F"/>
    <w:rsid w:val="00165427"/>
    <w:rsid w:val="00182A6E"/>
    <w:rsid w:val="0018483E"/>
    <w:rsid w:val="00196D82"/>
    <w:rsid w:val="001A46F5"/>
    <w:rsid w:val="001B14B7"/>
    <w:rsid w:val="001B3C70"/>
    <w:rsid w:val="001C0444"/>
    <w:rsid w:val="001D1A2D"/>
    <w:rsid w:val="001D1DBD"/>
    <w:rsid w:val="001D3E7A"/>
    <w:rsid w:val="001D48F0"/>
    <w:rsid w:val="001D6EAB"/>
    <w:rsid w:val="001E02C4"/>
    <w:rsid w:val="001E4B79"/>
    <w:rsid w:val="001E6429"/>
    <w:rsid w:val="001F0105"/>
    <w:rsid w:val="00200431"/>
    <w:rsid w:val="00203E0A"/>
    <w:rsid w:val="002137F0"/>
    <w:rsid w:val="0021584D"/>
    <w:rsid w:val="002173D7"/>
    <w:rsid w:val="0021784D"/>
    <w:rsid w:val="002202E5"/>
    <w:rsid w:val="002408C1"/>
    <w:rsid w:val="00261D52"/>
    <w:rsid w:val="00263055"/>
    <w:rsid w:val="00263EF4"/>
    <w:rsid w:val="00270792"/>
    <w:rsid w:val="00273836"/>
    <w:rsid w:val="00281F27"/>
    <w:rsid w:val="0028436A"/>
    <w:rsid w:val="00285457"/>
    <w:rsid w:val="002A6FD8"/>
    <w:rsid w:val="002A7A22"/>
    <w:rsid w:val="002B0573"/>
    <w:rsid w:val="002B2D58"/>
    <w:rsid w:val="002C62CA"/>
    <w:rsid w:val="002C6420"/>
    <w:rsid w:val="002D5D4A"/>
    <w:rsid w:val="002E26D0"/>
    <w:rsid w:val="002E42CA"/>
    <w:rsid w:val="002F3036"/>
    <w:rsid w:val="002F5FF6"/>
    <w:rsid w:val="002F7428"/>
    <w:rsid w:val="00305773"/>
    <w:rsid w:val="00311E6F"/>
    <w:rsid w:val="003155F5"/>
    <w:rsid w:val="00320274"/>
    <w:rsid w:val="00325929"/>
    <w:rsid w:val="00340CFD"/>
    <w:rsid w:val="003464DD"/>
    <w:rsid w:val="00354E59"/>
    <w:rsid w:val="00356A6F"/>
    <w:rsid w:val="00360320"/>
    <w:rsid w:val="0036225F"/>
    <w:rsid w:val="003742D8"/>
    <w:rsid w:val="00383964"/>
    <w:rsid w:val="00393494"/>
    <w:rsid w:val="0039363A"/>
    <w:rsid w:val="003938EA"/>
    <w:rsid w:val="00395613"/>
    <w:rsid w:val="003968F5"/>
    <w:rsid w:val="003B28F8"/>
    <w:rsid w:val="003B53F3"/>
    <w:rsid w:val="003B6807"/>
    <w:rsid w:val="003C0B63"/>
    <w:rsid w:val="003C29A7"/>
    <w:rsid w:val="003C4933"/>
    <w:rsid w:val="003C4DB3"/>
    <w:rsid w:val="003C4FF6"/>
    <w:rsid w:val="003D0C29"/>
    <w:rsid w:val="003E0264"/>
    <w:rsid w:val="003E0F95"/>
    <w:rsid w:val="003F14E3"/>
    <w:rsid w:val="0040296C"/>
    <w:rsid w:val="00406654"/>
    <w:rsid w:val="00407A3C"/>
    <w:rsid w:val="00417B33"/>
    <w:rsid w:val="00420168"/>
    <w:rsid w:val="0042189D"/>
    <w:rsid w:val="00423173"/>
    <w:rsid w:val="00424CD1"/>
    <w:rsid w:val="00437380"/>
    <w:rsid w:val="00437969"/>
    <w:rsid w:val="00440957"/>
    <w:rsid w:val="00441B01"/>
    <w:rsid w:val="00445118"/>
    <w:rsid w:val="0044693D"/>
    <w:rsid w:val="00461107"/>
    <w:rsid w:val="00463097"/>
    <w:rsid w:val="004652AD"/>
    <w:rsid w:val="004659D6"/>
    <w:rsid w:val="00474E4B"/>
    <w:rsid w:val="0049251E"/>
    <w:rsid w:val="004A2FD6"/>
    <w:rsid w:val="004B4297"/>
    <w:rsid w:val="004B453D"/>
    <w:rsid w:val="004B5763"/>
    <w:rsid w:val="004B6543"/>
    <w:rsid w:val="004B7509"/>
    <w:rsid w:val="004C0133"/>
    <w:rsid w:val="004E55C0"/>
    <w:rsid w:val="004F13D1"/>
    <w:rsid w:val="004F32AF"/>
    <w:rsid w:val="00502DD7"/>
    <w:rsid w:val="0050462B"/>
    <w:rsid w:val="005167A8"/>
    <w:rsid w:val="00516E30"/>
    <w:rsid w:val="0052178D"/>
    <w:rsid w:val="0052322C"/>
    <w:rsid w:val="00542BAD"/>
    <w:rsid w:val="005454AD"/>
    <w:rsid w:val="005464EC"/>
    <w:rsid w:val="00551F04"/>
    <w:rsid w:val="0055223C"/>
    <w:rsid w:val="00552BD5"/>
    <w:rsid w:val="00561286"/>
    <w:rsid w:val="0056133D"/>
    <w:rsid w:val="0056615A"/>
    <w:rsid w:val="00566748"/>
    <w:rsid w:val="0057151A"/>
    <w:rsid w:val="00574265"/>
    <w:rsid w:val="00574B6D"/>
    <w:rsid w:val="005760C7"/>
    <w:rsid w:val="005875A8"/>
    <w:rsid w:val="005903CE"/>
    <w:rsid w:val="00591F34"/>
    <w:rsid w:val="00594EA6"/>
    <w:rsid w:val="00596B79"/>
    <w:rsid w:val="005A0731"/>
    <w:rsid w:val="005A2BA4"/>
    <w:rsid w:val="005B12DB"/>
    <w:rsid w:val="005B6A99"/>
    <w:rsid w:val="005B6EDF"/>
    <w:rsid w:val="005C02D2"/>
    <w:rsid w:val="005C03B1"/>
    <w:rsid w:val="005C05A1"/>
    <w:rsid w:val="005C2612"/>
    <w:rsid w:val="005C3CE6"/>
    <w:rsid w:val="005D0E55"/>
    <w:rsid w:val="005D7169"/>
    <w:rsid w:val="005E0011"/>
    <w:rsid w:val="005E162E"/>
    <w:rsid w:val="005E22B3"/>
    <w:rsid w:val="005E3692"/>
    <w:rsid w:val="005F2BFD"/>
    <w:rsid w:val="0061430A"/>
    <w:rsid w:val="00622154"/>
    <w:rsid w:val="00623121"/>
    <w:rsid w:val="006259C3"/>
    <w:rsid w:val="00635865"/>
    <w:rsid w:val="006413DA"/>
    <w:rsid w:val="00641CB1"/>
    <w:rsid w:val="00641F2D"/>
    <w:rsid w:val="00641FE5"/>
    <w:rsid w:val="00643163"/>
    <w:rsid w:val="00644D7D"/>
    <w:rsid w:val="0064560B"/>
    <w:rsid w:val="006513A8"/>
    <w:rsid w:val="006526C7"/>
    <w:rsid w:val="00654564"/>
    <w:rsid w:val="0066055A"/>
    <w:rsid w:val="0067084E"/>
    <w:rsid w:val="00673D62"/>
    <w:rsid w:val="00674F71"/>
    <w:rsid w:val="00677576"/>
    <w:rsid w:val="00681703"/>
    <w:rsid w:val="00686AB5"/>
    <w:rsid w:val="006B1029"/>
    <w:rsid w:val="006B1BC4"/>
    <w:rsid w:val="006D0D82"/>
    <w:rsid w:val="006E3C7C"/>
    <w:rsid w:val="006E4B39"/>
    <w:rsid w:val="006F297A"/>
    <w:rsid w:val="007022A9"/>
    <w:rsid w:val="007035B1"/>
    <w:rsid w:val="00705703"/>
    <w:rsid w:val="00707557"/>
    <w:rsid w:val="00707EF8"/>
    <w:rsid w:val="0071032B"/>
    <w:rsid w:val="007251A2"/>
    <w:rsid w:val="00725A51"/>
    <w:rsid w:val="00754239"/>
    <w:rsid w:val="00754FEE"/>
    <w:rsid w:val="007550B1"/>
    <w:rsid w:val="00755165"/>
    <w:rsid w:val="007579B1"/>
    <w:rsid w:val="0076101E"/>
    <w:rsid w:val="00761FE5"/>
    <w:rsid w:val="00765852"/>
    <w:rsid w:val="00766AFB"/>
    <w:rsid w:val="00773026"/>
    <w:rsid w:val="00775B18"/>
    <w:rsid w:val="007807D3"/>
    <w:rsid w:val="0078275A"/>
    <w:rsid w:val="00794726"/>
    <w:rsid w:val="007A166B"/>
    <w:rsid w:val="007A3260"/>
    <w:rsid w:val="007B114F"/>
    <w:rsid w:val="007C6291"/>
    <w:rsid w:val="007D3368"/>
    <w:rsid w:val="007D3FE2"/>
    <w:rsid w:val="007D40B7"/>
    <w:rsid w:val="007E067D"/>
    <w:rsid w:val="007E3CE2"/>
    <w:rsid w:val="007E3CED"/>
    <w:rsid w:val="007E7F07"/>
    <w:rsid w:val="007F7C69"/>
    <w:rsid w:val="008039F8"/>
    <w:rsid w:val="00810A47"/>
    <w:rsid w:val="00811136"/>
    <w:rsid w:val="00822BEF"/>
    <w:rsid w:val="00843DF9"/>
    <w:rsid w:val="008532F7"/>
    <w:rsid w:val="00853DBE"/>
    <w:rsid w:val="008649AC"/>
    <w:rsid w:val="00867B21"/>
    <w:rsid w:val="0087040E"/>
    <w:rsid w:val="0087223B"/>
    <w:rsid w:val="0087591A"/>
    <w:rsid w:val="00876E8B"/>
    <w:rsid w:val="00880026"/>
    <w:rsid w:val="008859D1"/>
    <w:rsid w:val="00893BFA"/>
    <w:rsid w:val="008962E6"/>
    <w:rsid w:val="008974B8"/>
    <w:rsid w:val="00897FCA"/>
    <w:rsid w:val="008A0CE2"/>
    <w:rsid w:val="008A2ECA"/>
    <w:rsid w:val="008A7AE3"/>
    <w:rsid w:val="008B15AE"/>
    <w:rsid w:val="008C2F0B"/>
    <w:rsid w:val="008D27A0"/>
    <w:rsid w:val="008E1FBB"/>
    <w:rsid w:val="008E64AF"/>
    <w:rsid w:val="008F57C5"/>
    <w:rsid w:val="00901CBC"/>
    <w:rsid w:val="0090480A"/>
    <w:rsid w:val="0093040A"/>
    <w:rsid w:val="0093115F"/>
    <w:rsid w:val="0094017A"/>
    <w:rsid w:val="00951E77"/>
    <w:rsid w:val="00952654"/>
    <w:rsid w:val="00952861"/>
    <w:rsid w:val="00960BD8"/>
    <w:rsid w:val="00962B1C"/>
    <w:rsid w:val="009679E7"/>
    <w:rsid w:val="009730C6"/>
    <w:rsid w:val="0097638A"/>
    <w:rsid w:val="0097702C"/>
    <w:rsid w:val="00977E8F"/>
    <w:rsid w:val="00980A54"/>
    <w:rsid w:val="009829BB"/>
    <w:rsid w:val="00984A10"/>
    <w:rsid w:val="00984E35"/>
    <w:rsid w:val="0099265F"/>
    <w:rsid w:val="00992D3A"/>
    <w:rsid w:val="0099524D"/>
    <w:rsid w:val="009C55DD"/>
    <w:rsid w:val="009D6D43"/>
    <w:rsid w:val="009E7467"/>
    <w:rsid w:val="009F1D88"/>
    <w:rsid w:val="00A0554E"/>
    <w:rsid w:val="00A17148"/>
    <w:rsid w:val="00A23370"/>
    <w:rsid w:val="00A30D9C"/>
    <w:rsid w:val="00A42491"/>
    <w:rsid w:val="00A43ECE"/>
    <w:rsid w:val="00A563EE"/>
    <w:rsid w:val="00A65EE0"/>
    <w:rsid w:val="00A65FF4"/>
    <w:rsid w:val="00A757AC"/>
    <w:rsid w:val="00A82CE0"/>
    <w:rsid w:val="00A87A67"/>
    <w:rsid w:val="00A933C8"/>
    <w:rsid w:val="00A934ED"/>
    <w:rsid w:val="00A95664"/>
    <w:rsid w:val="00A96242"/>
    <w:rsid w:val="00AA1959"/>
    <w:rsid w:val="00AB3F80"/>
    <w:rsid w:val="00AB54EB"/>
    <w:rsid w:val="00AC1C63"/>
    <w:rsid w:val="00AC1DA9"/>
    <w:rsid w:val="00AC2E83"/>
    <w:rsid w:val="00AC4CA0"/>
    <w:rsid w:val="00AD0FB9"/>
    <w:rsid w:val="00AD1946"/>
    <w:rsid w:val="00AD2C82"/>
    <w:rsid w:val="00AD63DC"/>
    <w:rsid w:val="00AE6140"/>
    <w:rsid w:val="00B0081B"/>
    <w:rsid w:val="00B02459"/>
    <w:rsid w:val="00B04BE4"/>
    <w:rsid w:val="00B05222"/>
    <w:rsid w:val="00B120A8"/>
    <w:rsid w:val="00B13D45"/>
    <w:rsid w:val="00B17031"/>
    <w:rsid w:val="00B2001A"/>
    <w:rsid w:val="00B23C3A"/>
    <w:rsid w:val="00B2593B"/>
    <w:rsid w:val="00B263C6"/>
    <w:rsid w:val="00B32E0A"/>
    <w:rsid w:val="00B346E4"/>
    <w:rsid w:val="00B45B84"/>
    <w:rsid w:val="00B56ED8"/>
    <w:rsid w:val="00B61ACA"/>
    <w:rsid w:val="00B71E34"/>
    <w:rsid w:val="00B72D31"/>
    <w:rsid w:val="00B74ADA"/>
    <w:rsid w:val="00B80DD5"/>
    <w:rsid w:val="00B829C0"/>
    <w:rsid w:val="00B83180"/>
    <w:rsid w:val="00B95F7F"/>
    <w:rsid w:val="00BA58C1"/>
    <w:rsid w:val="00BA5FE0"/>
    <w:rsid w:val="00BA7159"/>
    <w:rsid w:val="00BB53BD"/>
    <w:rsid w:val="00BC0E9C"/>
    <w:rsid w:val="00BC2883"/>
    <w:rsid w:val="00BC7E9F"/>
    <w:rsid w:val="00BD4075"/>
    <w:rsid w:val="00BD645D"/>
    <w:rsid w:val="00BE1FE4"/>
    <w:rsid w:val="00BE395B"/>
    <w:rsid w:val="00BE4C8E"/>
    <w:rsid w:val="00C01F9E"/>
    <w:rsid w:val="00C12807"/>
    <w:rsid w:val="00C20A83"/>
    <w:rsid w:val="00C246F1"/>
    <w:rsid w:val="00C307D4"/>
    <w:rsid w:val="00C30991"/>
    <w:rsid w:val="00C30B92"/>
    <w:rsid w:val="00C324A0"/>
    <w:rsid w:val="00C32AAA"/>
    <w:rsid w:val="00C34D29"/>
    <w:rsid w:val="00C47E65"/>
    <w:rsid w:val="00C50061"/>
    <w:rsid w:val="00C5046B"/>
    <w:rsid w:val="00C50C34"/>
    <w:rsid w:val="00C50C6D"/>
    <w:rsid w:val="00C51230"/>
    <w:rsid w:val="00C52F92"/>
    <w:rsid w:val="00C61A14"/>
    <w:rsid w:val="00C6346F"/>
    <w:rsid w:val="00C67F89"/>
    <w:rsid w:val="00C732C2"/>
    <w:rsid w:val="00C77E6E"/>
    <w:rsid w:val="00C82183"/>
    <w:rsid w:val="00C8245B"/>
    <w:rsid w:val="00C85A21"/>
    <w:rsid w:val="00C86659"/>
    <w:rsid w:val="00C944F1"/>
    <w:rsid w:val="00C94B88"/>
    <w:rsid w:val="00C97DD3"/>
    <w:rsid w:val="00CA7020"/>
    <w:rsid w:val="00CC7386"/>
    <w:rsid w:val="00CD0515"/>
    <w:rsid w:val="00CD303C"/>
    <w:rsid w:val="00CD6307"/>
    <w:rsid w:val="00CD6C7A"/>
    <w:rsid w:val="00CE276F"/>
    <w:rsid w:val="00CE2D92"/>
    <w:rsid w:val="00CF1CBB"/>
    <w:rsid w:val="00D10F30"/>
    <w:rsid w:val="00D11CDE"/>
    <w:rsid w:val="00D158B3"/>
    <w:rsid w:val="00D3113D"/>
    <w:rsid w:val="00D370A3"/>
    <w:rsid w:val="00D42431"/>
    <w:rsid w:val="00D457EE"/>
    <w:rsid w:val="00D56080"/>
    <w:rsid w:val="00D567E2"/>
    <w:rsid w:val="00D62104"/>
    <w:rsid w:val="00D70ED8"/>
    <w:rsid w:val="00D95BB4"/>
    <w:rsid w:val="00DA1965"/>
    <w:rsid w:val="00DA2B71"/>
    <w:rsid w:val="00DA2F23"/>
    <w:rsid w:val="00DA7C21"/>
    <w:rsid w:val="00DB4F58"/>
    <w:rsid w:val="00DB7673"/>
    <w:rsid w:val="00DC4D22"/>
    <w:rsid w:val="00DC6542"/>
    <w:rsid w:val="00DC6C4A"/>
    <w:rsid w:val="00DD15D0"/>
    <w:rsid w:val="00DD355E"/>
    <w:rsid w:val="00DD55DF"/>
    <w:rsid w:val="00DD7DA8"/>
    <w:rsid w:val="00DE2647"/>
    <w:rsid w:val="00DE4936"/>
    <w:rsid w:val="00DF787E"/>
    <w:rsid w:val="00E25705"/>
    <w:rsid w:val="00E36324"/>
    <w:rsid w:val="00E45CBA"/>
    <w:rsid w:val="00E50A2A"/>
    <w:rsid w:val="00E60441"/>
    <w:rsid w:val="00E641B8"/>
    <w:rsid w:val="00E64892"/>
    <w:rsid w:val="00E669FC"/>
    <w:rsid w:val="00E83C43"/>
    <w:rsid w:val="00E8489B"/>
    <w:rsid w:val="00E90482"/>
    <w:rsid w:val="00E91FBD"/>
    <w:rsid w:val="00E92612"/>
    <w:rsid w:val="00EA2154"/>
    <w:rsid w:val="00EA7FE2"/>
    <w:rsid w:val="00EC2113"/>
    <w:rsid w:val="00ED04AD"/>
    <w:rsid w:val="00EE28FC"/>
    <w:rsid w:val="00EE3D91"/>
    <w:rsid w:val="00EF0D26"/>
    <w:rsid w:val="00EF33A4"/>
    <w:rsid w:val="00EF5CD1"/>
    <w:rsid w:val="00EF5FBD"/>
    <w:rsid w:val="00F02A90"/>
    <w:rsid w:val="00F06955"/>
    <w:rsid w:val="00F15683"/>
    <w:rsid w:val="00F16FAC"/>
    <w:rsid w:val="00F33A76"/>
    <w:rsid w:val="00F37DBB"/>
    <w:rsid w:val="00F41D07"/>
    <w:rsid w:val="00F51CAB"/>
    <w:rsid w:val="00F522FB"/>
    <w:rsid w:val="00F55C7D"/>
    <w:rsid w:val="00F55E48"/>
    <w:rsid w:val="00F56985"/>
    <w:rsid w:val="00F62EFE"/>
    <w:rsid w:val="00F723CD"/>
    <w:rsid w:val="00F76271"/>
    <w:rsid w:val="00F77547"/>
    <w:rsid w:val="00F83196"/>
    <w:rsid w:val="00F8558A"/>
    <w:rsid w:val="00F8568B"/>
    <w:rsid w:val="00F86F79"/>
    <w:rsid w:val="00F91134"/>
    <w:rsid w:val="00F9229B"/>
    <w:rsid w:val="00F9716D"/>
    <w:rsid w:val="00FA2FD7"/>
    <w:rsid w:val="00FA3443"/>
    <w:rsid w:val="00FA491B"/>
    <w:rsid w:val="00FB19E9"/>
    <w:rsid w:val="00FB3514"/>
    <w:rsid w:val="00FC2DBA"/>
    <w:rsid w:val="00FD0B06"/>
    <w:rsid w:val="00FD3A61"/>
    <w:rsid w:val="00FD3F03"/>
    <w:rsid w:val="00FD475F"/>
    <w:rsid w:val="00FD4B87"/>
    <w:rsid w:val="00FE1125"/>
    <w:rsid w:val="00FF0F17"/>
    <w:rsid w:val="00FF1A2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F062F12A-E36C-4DD5-9420-6BEC9941D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Century Gothic" w:hAnsi="Century Gothic"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F58"/>
    <w:pPr>
      <w:numPr>
        <w:numId w:val="11"/>
      </w:numPr>
      <w:spacing w:before="240" w:after="240"/>
      <w:ind w:left="567" w:right="794" w:hanging="567"/>
    </w:pPr>
    <w:rPr>
      <w:rFonts w:ascii="Calibri" w:hAnsi="Calibri" w:cs="Arial"/>
      <w:sz w:val="22"/>
      <w:szCs w:val="28"/>
      <w:lang w:eastAsia="en-US"/>
    </w:rPr>
  </w:style>
  <w:style w:type="paragraph" w:styleId="Heading1">
    <w:name w:val="heading 1"/>
    <w:basedOn w:val="Normal"/>
    <w:next w:val="Normal"/>
    <w:link w:val="Heading1Char"/>
    <w:uiPriority w:val="9"/>
    <w:qFormat/>
    <w:rsid w:val="00200431"/>
    <w:pPr>
      <w:keepNext/>
      <w:keepLines/>
      <w:numPr>
        <w:numId w:val="0"/>
      </w:numPr>
      <w:spacing w:before="480" w:after="0"/>
      <w:outlineLvl w:val="0"/>
    </w:pPr>
    <w:rPr>
      <w:rFonts w:ascii="Century Gothic" w:eastAsia="Times New Roman" w:hAnsi="Century Gothic" w:cs="Times New Roman"/>
      <w:b/>
      <w:bCs/>
      <w:color w:val="354369"/>
    </w:rPr>
  </w:style>
  <w:style w:type="paragraph" w:styleId="Heading2">
    <w:name w:val="heading 2"/>
    <w:basedOn w:val="Normal"/>
    <w:next w:val="Normal"/>
    <w:link w:val="Heading2Char"/>
    <w:unhideWhenUsed/>
    <w:qFormat/>
    <w:rsid w:val="006B1029"/>
    <w:pPr>
      <w:keepNext/>
      <w:keepLines/>
      <w:numPr>
        <w:numId w:val="0"/>
      </w:numPr>
      <w:spacing w:before="200" w:after="0"/>
      <w:outlineLvl w:val="1"/>
    </w:pPr>
    <w:rPr>
      <w:rFonts w:eastAsia="Times New Roman" w:cs="Times New Roman"/>
      <w:b/>
      <w:bCs/>
      <w:color w:val="8797C3"/>
      <w:sz w:val="24"/>
      <w:szCs w:val="30"/>
    </w:rPr>
  </w:style>
  <w:style w:type="paragraph" w:styleId="Heading3">
    <w:name w:val="heading 3"/>
    <w:basedOn w:val="Normal"/>
    <w:next w:val="Normal"/>
    <w:link w:val="Heading3Char"/>
    <w:uiPriority w:val="9"/>
    <w:unhideWhenUsed/>
    <w:qFormat/>
    <w:rsid w:val="00151049"/>
    <w:pPr>
      <w:keepNext/>
      <w:keepLines/>
      <w:numPr>
        <w:numId w:val="0"/>
      </w:numPr>
      <w:spacing w:before="200" w:after="0"/>
      <w:outlineLvl w:val="2"/>
    </w:pPr>
    <w:rPr>
      <w:rFonts w:eastAsia="Times New Roman" w:cs="Times New Roman"/>
      <w:b/>
      <w:bCs/>
      <w:i/>
      <w:color w:val="AFBAD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List2-Accent1">
    <w:name w:val="Medium List 2 Accent 1"/>
    <w:basedOn w:val="TableNormal"/>
    <w:uiPriority w:val="66"/>
    <w:rsid w:val="00C94B88"/>
    <w:rPr>
      <w:rFonts w:eastAsia="Times New Roman"/>
      <w:color w:val="000000"/>
      <w:lang w:val="en-US" w:bidi="en-US"/>
    </w:rPr>
    <w:tblPr>
      <w:tblStyleRowBandSize w:val="1"/>
      <w:tblStyleColBandSize w:val="1"/>
      <w:tblBorders>
        <w:top w:val="single" w:sz="8" w:space="0" w:color="3891A7"/>
        <w:left w:val="single" w:sz="8" w:space="0" w:color="3891A7"/>
        <w:bottom w:val="single" w:sz="8" w:space="0" w:color="3891A7"/>
        <w:right w:val="single" w:sz="8" w:space="0" w:color="3891A7"/>
      </w:tblBorders>
    </w:tblPr>
    <w:tblStylePr w:type="firstRow">
      <w:rPr>
        <w:sz w:val="24"/>
        <w:szCs w:val="24"/>
      </w:rPr>
      <w:tblPr/>
      <w:tcPr>
        <w:tcBorders>
          <w:top w:val="nil"/>
          <w:left w:val="nil"/>
          <w:bottom w:val="single" w:sz="24" w:space="0" w:color="3891A7"/>
          <w:right w:val="nil"/>
          <w:insideH w:val="nil"/>
          <w:insideV w:val="nil"/>
        </w:tcBorders>
        <w:shd w:val="clear" w:color="auto" w:fill="FFFFFF"/>
      </w:tcPr>
    </w:tblStylePr>
    <w:tblStylePr w:type="lastRow">
      <w:tblPr/>
      <w:tcPr>
        <w:tcBorders>
          <w:top w:val="single" w:sz="8" w:space="0" w:color="3891A7"/>
          <w:left w:val="nil"/>
          <w:bottom w:val="nil"/>
          <w:right w:val="nil"/>
          <w:insideH w:val="nil"/>
          <w:insideV w:val="nil"/>
        </w:tcBorders>
        <w:shd w:val="clear" w:color="auto" w:fill="FFFFFF"/>
      </w:tcPr>
    </w:tblStylePr>
    <w:tblStylePr w:type="firstCol">
      <w:tblPr/>
      <w:tcPr>
        <w:tcBorders>
          <w:top w:val="nil"/>
          <w:left w:val="nil"/>
          <w:bottom w:val="nil"/>
          <w:right w:val="single" w:sz="8" w:space="0" w:color="3891A7"/>
          <w:insideH w:val="nil"/>
          <w:insideV w:val="nil"/>
        </w:tcBorders>
        <w:shd w:val="clear" w:color="auto" w:fill="FFFFFF"/>
      </w:tcPr>
    </w:tblStylePr>
    <w:tblStylePr w:type="lastCol">
      <w:tblPr/>
      <w:tcPr>
        <w:tcBorders>
          <w:top w:val="nil"/>
          <w:left w:val="single" w:sz="8" w:space="0" w:color="3891A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9E6ED"/>
      </w:tcPr>
    </w:tblStylePr>
    <w:tblStylePr w:type="band1Horz">
      <w:tblPr/>
      <w:tcPr>
        <w:tcBorders>
          <w:top w:val="nil"/>
          <w:bottom w:val="nil"/>
          <w:insideH w:val="nil"/>
          <w:insideV w:val="nil"/>
        </w:tcBorders>
        <w:shd w:val="clear" w:color="auto" w:fill="C9E6ED"/>
      </w:tcPr>
    </w:tblStylePr>
    <w:tblStylePr w:type="nwCell">
      <w:tblPr/>
      <w:tcPr>
        <w:shd w:val="clear" w:color="auto" w:fill="FFFFFF"/>
      </w:tcPr>
    </w:tblStylePr>
    <w:tblStylePr w:type="swCell">
      <w:tblPr/>
      <w:tcPr>
        <w:tcBorders>
          <w:top w:val="nil"/>
        </w:tcBorders>
      </w:tcPr>
    </w:tblStylePr>
  </w:style>
  <w:style w:type="table" w:styleId="MediumList1-Accent6">
    <w:name w:val="Medium List 1 Accent 6"/>
    <w:basedOn w:val="TableNormal"/>
    <w:uiPriority w:val="65"/>
    <w:rsid w:val="00C94B88"/>
    <w:rPr>
      <w:color w:val="000000"/>
    </w:rPr>
    <w:tblPr>
      <w:tblStyleRowBandSize w:val="1"/>
      <w:tblStyleColBandSize w:val="1"/>
      <w:tblBorders>
        <w:top w:val="single" w:sz="8" w:space="0" w:color="475A8D"/>
        <w:bottom w:val="single" w:sz="8" w:space="0" w:color="475A8D"/>
      </w:tblBorders>
    </w:tblPr>
    <w:tblStylePr w:type="firstRow">
      <w:rPr>
        <w:rFonts w:ascii="Calibri,Arial" w:eastAsia="Times New Roman" w:hAnsi="Calibri,Arial" w:cs="Times New Roman"/>
      </w:rPr>
      <w:tblPr/>
      <w:tcPr>
        <w:tcBorders>
          <w:top w:val="nil"/>
          <w:bottom w:val="single" w:sz="8" w:space="0" w:color="475A8D"/>
        </w:tcBorders>
      </w:tcPr>
    </w:tblStylePr>
    <w:tblStylePr w:type="lastRow">
      <w:rPr>
        <w:b/>
        <w:bCs/>
        <w:color w:val="4F271C"/>
      </w:rPr>
      <w:tblPr/>
      <w:tcPr>
        <w:tcBorders>
          <w:top w:val="single" w:sz="8" w:space="0" w:color="475A8D"/>
          <w:bottom w:val="single" w:sz="8" w:space="0" w:color="475A8D"/>
        </w:tcBorders>
      </w:tcPr>
    </w:tblStylePr>
    <w:tblStylePr w:type="firstCol">
      <w:rPr>
        <w:b/>
        <w:bCs/>
      </w:rPr>
    </w:tblStylePr>
    <w:tblStylePr w:type="lastCol">
      <w:rPr>
        <w:b/>
        <w:bCs/>
      </w:rPr>
      <w:tblPr/>
      <w:tcPr>
        <w:tcBorders>
          <w:top w:val="single" w:sz="8" w:space="0" w:color="475A8D"/>
          <w:bottom w:val="single" w:sz="8" w:space="0" w:color="475A8D"/>
        </w:tcBorders>
      </w:tcPr>
    </w:tblStylePr>
    <w:tblStylePr w:type="band1Vert">
      <w:tblPr/>
      <w:tcPr>
        <w:shd w:val="clear" w:color="auto" w:fill="CED4E6"/>
      </w:tcPr>
    </w:tblStylePr>
    <w:tblStylePr w:type="band1Horz">
      <w:tblPr/>
      <w:tcPr>
        <w:shd w:val="clear" w:color="auto" w:fill="CED4E6"/>
      </w:tcPr>
    </w:tblStylePr>
  </w:style>
  <w:style w:type="table" w:styleId="MediumList2-Accent5">
    <w:name w:val="Medium List 2 Accent 5"/>
    <w:basedOn w:val="TableNormal"/>
    <w:uiPriority w:val="66"/>
    <w:rsid w:val="00C94B88"/>
    <w:rPr>
      <w:rFonts w:eastAsia="Times New Roman"/>
      <w:color w:val="000000"/>
    </w:rPr>
    <w:tblPr>
      <w:tblStyleRowBandSize w:val="1"/>
      <w:tblStyleColBandSize w:val="1"/>
      <w:tblBorders>
        <w:top w:val="single" w:sz="8" w:space="0" w:color="964305"/>
        <w:left w:val="single" w:sz="8" w:space="0" w:color="964305"/>
        <w:bottom w:val="single" w:sz="8" w:space="0" w:color="964305"/>
        <w:right w:val="single" w:sz="8" w:space="0" w:color="964305"/>
      </w:tblBorders>
    </w:tblPr>
    <w:tblStylePr w:type="firstRow">
      <w:rPr>
        <w:sz w:val="24"/>
        <w:szCs w:val="24"/>
      </w:rPr>
      <w:tblPr/>
      <w:tcPr>
        <w:tcBorders>
          <w:top w:val="nil"/>
          <w:left w:val="nil"/>
          <w:bottom w:val="single" w:sz="24" w:space="0" w:color="964305"/>
          <w:right w:val="nil"/>
          <w:insideH w:val="nil"/>
          <w:insideV w:val="nil"/>
        </w:tcBorders>
        <w:shd w:val="clear" w:color="auto" w:fill="FFFFFF"/>
      </w:tcPr>
    </w:tblStylePr>
    <w:tblStylePr w:type="lastRow">
      <w:tblPr/>
      <w:tcPr>
        <w:tcBorders>
          <w:top w:val="single" w:sz="8" w:space="0" w:color="964305"/>
          <w:left w:val="nil"/>
          <w:bottom w:val="nil"/>
          <w:right w:val="nil"/>
          <w:insideH w:val="nil"/>
          <w:insideV w:val="nil"/>
        </w:tcBorders>
        <w:shd w:val="clear" w:color="auto" w:fill="FFFFFF"/>
      </w:tcPr>
    </w:tblStylePr>
    <w:tblStylePr w:type="firstCol">
      <w:tblPr/>
      <w:tcPr>
        <w:tcBorders>
          <w:top w:val="nil"/>
          <w:left w:val="nil"/>
          <w:bottom w:val="nil"/>
          <w:right w:val="single" w:sz="8" w:space="0" w:color="964305"/>
          <w:insideH w:val="nil"/>
          <w:insideV w:val="nil"/>
        </w:tcBorders>
        <w:shd w:val="clear" w:color="auto" w:fill="FFFFFF"/>
      </w:tcPr>
    </w:tblStylePr>
    <w:tblStylePr w:type="lastCol">
      <w:tblPr/>
      <w:tcPr>
        <w:tcBorders>
          <w:top w:val="nil"/>
          <w:left w:val="single" w:sz="8" w:space="0" w:color="96430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CCDA9"/>
      </w:tcPr>
    </w:tblStylePr>
    <w:tblStylePr w:type="band1Horz">
      <w:tblPr/>
      <w:tcPr>
        <w:tcBorders>
          <w:top w:val="nil"/>
          <w:bottom w:val="nil"/>
          <w:insideH w:val="nil"/>
          <w:insideV w:val="nil"/>
        </w:tcBorders>
        <w:shd w:val="clear" w:color="auto" w:fill="FCCDA9"/>
      </w:tcPr>
    </w:tblStylePr>
    <w:tblStylePr w:type="nwCell">
      <w:tblPr/>
      <w:tcPr>
        <w:shd w:val="clear" w:color="auto" w:fill="FFFFFF"/>
      </w:tcPr>
    </w:tblStylePr>
    <w:tblStylePr w:type="swCell">
      <w:tblPr/>
      <w:tcPr>
        <w:tcBorders>
          <w:top w:val="nil"/>
        </w:tcBorders>
      </w:tcPr>
    </w:tblStylePr>
  </w:style>
  <w:style w:type="character" w:customStyle="1" w:styleId="Heading1Char">
    <w:name w:val="Heading 1 Char"/>
    <w:link w:val="Heading1"/>
    <w:uiPriority w:val="9"/>
    <w:rsid w:val="00200431"/>
    <w:rPr>
      <w:rFonts w:ascii="Century Gothic" w:eastAsia="Times New Roman" w:hAnsi="Century Gothic" w:cs="Times New Roman"/>
      <w:b/>
      <w:bCs/>
      <w:color w:val="354369"/>
      <w:szCs w:val="28"/>
    </w:rPr>
  </w:style>
  <w:style w:type="paragraph" w:styleId="Title">
    <w:name w:val="Title"/>
    <w:basedOn w:val="Normal"/>
    <w:next w:val="Normal"/>
    <w:link w:val="TitleChar"/>
    <w:uiPriority w:val="10"/>
    <w:qFormat/>
    <w:rsid w:val="00200431"/>
    <w:pPr>
      <w:numPr>
        <w:numId w:val="0"/>
      </w:numPr>
      <w:pBdr>
        <w:bottom w:val="single" w:sz="8" w:space="4" w:color="3891A7"/>
      </w:pBdr>
      <w:spacing w:after="300"/>
      <w:contextualSpacing/>
    </w:pPr>
    <w:rPr>
      <w:rFonts w:ascii="Century Gothic" w:eastAsia="Times New Roman" w:hAnsi="Century Gothic" w:cs="Times New Roman"/>
      <w:b/>
      <w:color w:val="475A8D"/>
      <w:spacing w:val="5"/>
      <w:kern w:val="28"/>
      <w:sz w:val="28"/>
      <w:szCs w:val="52"/>
    </w:rPr>
  </w:style>
  <w:style w:type="character" w:customStyle="1" w:styleId="TitleChar">
    <w:name w:val="Title Char"/>
    <w:link w:val="Title"/>
    <w:uiPriority w:val="10"/>
    <w:rsid w:val="00200431"/>
    <w:rPr>
      <w:rFonts w:ascii="Century Gothic" w:eastAsia="Times New Roman" w:hAnsi="Century Gothic" w:cs="Times New Roman"/>
      <w:b/>
      <w:color w:val="475A8D"/>
      <w:spacing w:val="5"/>
      <w:kern w:val="28"/>
      <w:sz w:val="28"/>
      <w:szCs w:val="52"/>
    </w:rPr>
  </w:style>
  <w:style w:type="paragraph" w:styleId="ListParagraph">
    <w:name w:val="List Paragraph"/>
    <w:basedOn w:val="Normal"/>
    <w:link w:val="ListParagraphChar"/>
    <w:uiPriority w:val="34"/>
    <w:qFormat/>
    <w:rsid w:val="00811136"/>
    <w:pPr>
      <w:numPr>
        <w:ilvl w:val="1"/>
      </w:numPr>
      <w:spacing w:before="120" w:after="120"/>
    </w:pPr>
  </w:style>
  <w:style w:type="character" w:styleId="Hyperlink">
    <w:name w:val="Hyperlink"/>
    <w:uiPriority w:val="99"/>
    <w:unhideWhenUsed/>
    <w:rsid w:val="00AE6140"/>
    <w:rPr>
      <w:color w:val="003366"/>
      <w:u w:val="single"/>
    </w:rPr>
  </w:style>
  <w:style w:type="character" w:styleId="Strong">
    <w:name w:val="Strong"/>
    <w:uiPriority w:val="22"/>
    <w:qFormat/>
    <w:rsid w:val="00AE6140"/>
    <w:rPr>
      <w:b/>
      <w:bCs/>
    </w:rPr>
  </w:style>
  <w:style w:type="character" w:styleId="Emphasis">
    <w:name w:val="Emphasis"/>
    <w:uiPriority w:val="20"/>
    <w:qFormat/>
    <w:rsid w:val="00AE6140"/>
    <w:rPr>
      <w:i/>
      <w:iCs/>
    </w:rPr>
  </w:style>
  <w:style w:type="character" w:customStyle="1" w:styleId="Heading2Char">
    <w:name w:val="Heading 2 Char"/>
    <w:link w:val="Heading2"/>
    <w:uiPriority w:val="9"/>
    <w:rsid w:val="006B1029"/>
    <w:rPr>
      <w:rFonts w:ascii="Calibri" w:eastAsia="Times New Roman" w:hAnsi="Calibri" w:cs="Times New Roman"/>
      <w:b/>
      <w:bCs/>
      <w:color w:val="8797C3"/>
      <w:sz w:val="24"/>
      <w:szCs w:val="30"/>
    </w:rPr>
  </w:style>
  <w:style w:type="character" w:customStyle="1" w:styleId="Heading3Char">
    <w:name w:val="Heading 3 Char"/>
    <w:link w:val="Heading3"/>
    <w:uiPriority w:val="9"/>
    <w:rsid w:val="00151049"/>
    <w:rPr>
      <w:rFonts w:ascii="Calibri" w:eastAsia="Times New Roman" w:hAnsi="Calibri" w:cs="Times New Roman"/>
      <w:b/>
      <w:bCs/>
      <w:i/>
      <w:color w:val="AFBAD7"/>
      <w:szCs w:val="28"/>
    </w:rPr>
  </w:style>
  <w:style w:type="paragraph" w:styleId="FootnoteText">
    <w:name w:val="footnote text"/>
    <w:basedOn w:val="Normal"/>
    <w:link w:val="FootnoteTextChar"/>
    <w:uiPriority w:val="99"/>
    <w:semiHidden/>
    <w:unhideWhenUsed/>
    <w:rsid w:val="00D11CDE"/>
    <w:pPr>
      <w:spacing w:before="0" w:after="0"/>
    </w:pPr>
    <w:rPr>
      <w:sz w:val="20"/>
      <w:szCs w:val="20"/>
    </w:rPr>
  </w:style>
  <w:style w:type="character" w:customStyle="1" w:styleId="FootnoteTextChar">
    <w:name w:val="Footnote Text Char"/>
    <w:link w:val="FootnoteText"/>
    <w:uiPriority w:val="99"/>
    <w:semiHidden/>
    <w:rsid w:val="00D11CDE"/>
    <w:rPr>
      <w:rFonts w:ascii="Calibri" w:hAnsi="Calibri" w:cs="Arial"/>
      <w:sz w:val="20"/>
      <w:szCs w:val="20"/>
    </w:rPr>
  </w:style>
  <w:style w:type="character" w:styleId="FootnoteReference">
    <w:name w:val="footnote reference"/>
    <w:uiPriority w:val="99"/>
    <w:semiHidden/>
    <w:unhideWhenUsed/>
    <w:rsid w:val="00D11CDE"/>
    <w:rPr>
      <w:vertAlign w:val="superscript"/>
    </w:rPr>
  </w:style>
  <w:style w:type="character" w:styleId="CommentReference">
    <w:name w:val="annotation reference"/>
    <w:uiPriority w:val="99"/>
    <w:semiHidden/>
    <w:unhideWhenUsed/>
    <w:rsid w:val="00D11CDE"/>
    <w:rPr>
      <w:sz w:val="16"/>
      <w:szCs w:val="16"/>
    </w:rPr>
  </w:style>
  <w:style w:type="paragraph" w:styleId="CommentText">
    <w:name w:val="annotation text"/>
    <w:basedOn w:val="Normal"/>
    <w:link w:val="CommentTextChar"/>
    <w:uiPriority w:val="99"/>
    <w:unhideWhenUsed/>
    <w:rsid w:val="00D11CDE"/>
    <w:rPr>
      <w:sz w:val="20"/>
      <w:szCs w:val="20"/>
    </w:rPr>
  </w:style>
  <w:style w:type="character" w:customStyle="1" w:styleId="CommentTextChar">
    <w:name w:val="Comment Text Char"/>
    <w:link w:val="CommentText"/>
    <w:uiPriority w:val="99"/>
    <w:rsid w:val="00D11CDE"/>
    <w:rPr>
      <w:rFonts w:ascii="Calibri" w:hAnsi="Calibri" w:cs="Arial"/>
      <w:sz w:val="20"/>
      <w:szCs w:val="20"/>
    </w:rPr>
  </w:style>
  <w:style w:type="paragraph" w:styleId="CommentSubject">
    <w:name w:val="annotation subject"/>
    <w:basedOn w:val="CommentText"/>
    <w:next w:val="CommentText"/>
    <w:link w:val="CommentSubjectChar"/>
    <w:uiPriority w:val="99"/>
    <w:semiHidden/>
    <w:unhideWhenUsed/>
    <w:rsid w:val="00D11CDE"/>
    <w:rPr>
      <w:b/>
      <w:bCs/>
    </w:rPr>
  </w:style>
  <w:style w:type="character" w:customStyle="1" w:styleId="CommentSubjectChar">
    <w:name w:val="Comment Subject Char"/>
    <w:link w:val="CommentSubject"/>
    <w:uiPriority w:val="99"/>
    <w:semiHidden/>
    <w:rsid w:val="00D11CDE"/>
    <w:rPr>
      <w:rFonts w:ascii="Calibri" w:hAnsi="Calibri" w:cs="Arial"/>
      <w:b/>
      <w:bCs/>
      <w:sz w:val="20"/>
      <w:szCs w:val="20"/>
    </w:rPr>
  </w:style>
  <w:style w:type="paragraph" w:styleId="BalloonText">
    <w:name w:val="Balloon Text"/>
    <w:basedOn w:val="Normal"/>
    <w:link w:val="BalloonTextChar"/>
    <w:uiPriority w:val="99"/>
    <w:semiHidden/>
    <w:unhideWhenUsed/>
    <w:rsid w:val="00D11CDE"/>
    <w:pPr>
      <w:spacing w:before="0" w:after="0"/>
    </w:pPr>
    <w:rPr>
      <w:rFonts w:ascii="Tahoma" w:hAnsi="Tahoma" w:cs="Tahoma"/>
      <w:sz w:val="16"/>
      <w:szCs w:val="16"/>
    </w:rPr>
  </w:style>
  <w:style w:type="character" w:customStyle="1" w:styleId="BalloonTextChar">
    <w:name w:val="Balloon Text Char"/>
    <w:link w:val="BalloonText"/>
    <w:uiPriority w:val="99"/>
    <w:semiHidden/>
    <w:rsid w:val="00D11CDE"/>
    <w:rPr>
      <w:rFonts w:ascii="Tahoma" w:hAnsi="Tahoma" w:cs="Tahoma"/>
      <w:sz w:val="16"/>
      <w:szCs w:val="16"/>
    </w:rPr>
  </w:style>
  <w:style w:type="paragraph" w:styleId="Subtitle">
    <w:name w:val="Subtitle"/>
    <w:basedOn w:val="Normal"/>
    <w:next w:val="Normal"/>
    <w:link w:val="SubtitleChar"/>
    <w:uiPriority w:val="11"/>
    <w:qFormat/>
    <w:rsid w:val="00811136"/>
    <w:pPr>
      <w:numPr>
        <w:numId w:val="0"/>
      </w:numPr>
      <w:spacing w:before="0" w:after="0"/>
      <w:ind w:right="0"/>
    </w:pPr>
    <w:rPr>
      <w:rFonts w:ascii="Century Gothic" w:eastAsia="Times New Roman" w:hAnsi="Century Gothic" w:cs="Times New Roman"/>
      <w:b/>
      <w:iCs/>
      <w:color w:val="475A8D"/>
      <w:spacing w:val="15"/>
      <w:sz w:val="24"/>
      <w:szCs w:val="24"/>
    </w:rPr>
  </w:style>
  <w:style w:type="character" w:customStyle="1" w:styleId="SubtitleChar">
    <w:name w:val="Subtitle Char"/>
    <w:link w:val="Subtitle"/>
    <w:uiPriority w:val="11"/>
    <w:rsid w:val="00811136"/>
    <w:rPr>
      <w:rFonts w:ascii="Century Gothic" w:eastAsia="Times New Roman" w:hAnsi="Century Gothic" w:cs="Times New Roman"/>
      <w:b/>
      <w:iCs/>
      <w:color w:val="475A8D"/>
      <w:spacing w:val="15"/>
      <w:sz w:val="24"/>
      <w:szCs w:val="24"/>
    </w:rPr>
  </w:style>
  <w:style w:type="paragraph" w:styleId="TOC1">
    <w:name w:val="toc 1"/>
    <w:basedOn w:val="Normal"/>
    <w:next w:val="Normal"/>
    <w:autoRedefine/>
    <w:uiPriority w:val="39"/>
    <w:unhideWhenUsed/>
    <w:qFormat/>
    <w:rsid w:val="002B0573"/>
    <w:pPr>
      <w:numPr>
        <w:numId w:val="0"/>
      </w:numPr>
      <w:tabs>
        <w:tab w:val="right" w:leader="dot" w:pos="9016"/>
      </w:tabs>
      <w:spacing w:before="0" w:after="0"/>
      <w:ind w:left="-567"/>
    </w:pPr>
    <w:rPr>
      <w:rFonts w:asciiTheme="majorHAnsi" w:hAnsiTheme="majorHAnsi"/>
      <w:b/>
      <w:bCs/>
      <w:caps/>
      <w:sz w:val="24"/>
      <w:szCs w:val="24"/>
    </w:rPr>
  </w:style>
  <w:style w:type="paragraph" w:styleId="TOC2">
    <w:name w:val="toc 2"/>
    <w:basedOn w:val="Normal"/>
    <w:next w:val="Normal"/>
    <w:autoRedefine/>
    <w:uiPriority w:val="39"/>
    <w:unhideWhenUsed/>
    <w:qFormat/>
    <w:rsid w:val="003C29A7"/>
    <w:pPr>
      <w:spacing w:after="0"/>
      <w:ind w:left="0"/>
    </w:pPr>
    <w:rPr>
      <w:rFonts w:asciiTheme="minorHAnsi" w:hAnsiTheme="minorHAnsi"/>
      <w:b/>
      <w:bCs/>
      <w:sz w:val="20"/>
      <w:szCs w:val="20"/>
    </w:rPr>
  </w:style>
  <w:style w:type="paragraph" w:styleId="TOC3">
    <w:name w:val="toc 3"/>
    <w:basedOn w:val="Normal"/>
    <w:next w:val="Normal"/>
    <w:autoRedefine/>
    <w:uiPriority w:val="39"/>
    <w:unhideWhenUsed/>
    <w:qFormat/>
    <w:rsid w:val="00FD0B06"/>
    <w:pPr>
      <w:spacing w:before="0" w:after="0"/>
      <w:ind w:left="220"/>
    </w:pPr>
    <w:rPr>
      <w:rFonts w:asciiTheme="minorHAnsi" w:hAnsiTheme="minorHAnsi"/>
      <w:sz w:val="20"/>
      <w:szCs w:val="20"/>
    </w:rPr>
  </w:style>
  <w:style w:type="paragraph" w:styleId="TOCHeading">
    <w:name w:val="TOC Heading"/>
    <w:basedOn w:val="Heading1"/>
    <w:next w:val="Normal"/>
    <w:uiPriority w:val="39"/>
    <w:unhideWhenUsed/>
    <w:qFormat/>
    <w:rsid w:val="00C30B92"/>
    <w:pPr>
      <w:spacing w:line="276" w:lineRule="auto"/>
      <w:outlineLvl w:val="9"/>
    </w:pPr>
    <w:rPr>
      <w:color w:val="2A6C7D"/>
      <w:lang w:val="en-US"/>
    </w:rPr>
  </w:style>
  <w:style w:type="table" w:styleId="TableGrid">
    <w:name w:val="Table Grid"/>
    <w:basedOn w:val="TableNormal"/>
    <w:uiPriority w:val="59"/>
    <w:rsid w:val="006817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0006BD"/>
    <w:pPr>
      <w:tabs>
        <w:tab w:val="center" w:pos="4513"/>
        <w:tab w:val="right" w:pos="9026"/>
      </w:tabs>
      <w:spacing w:before="0" w:after="0"/>
    </w:pPr>
  </w:style>
  <w:style w:type="character" w:customStyle="1" w:styleId="HeaderChar">
    <w:name w:val="Header Char"/>
    <w:link w:val="Header"/>
    <w:uiPriority w:val="99"/>
    <w:rsid w:val="000006BD"/>
    <w:rPr>
      <w:rFonts w:ascii="Calibri" w:hAnsi="Calibri" w:cs="Arial"/>
      <w:szCs w:val="28"/>
    </w:rPr>
  </w:style>
  <w:style w:type="paragraph" w:styleId="Footer">
    <w:name w:val="footer"/>
    <w:basedOn w:val="Normal"/>
    <w:link w:val="FooterChar"/>
    <w:uiPriority w:val="99"/>
    <w:unhideWhenUsed/>
    <w:rsid w:val="000006BD"/>
    <w:pPr>
      <w:tabs>
        <w:tab w:val="center" w:pos="4513"/>
        <w:tab w:val="right" w:pos="9026"/>
      </w:tabs>
      <w:spacing w:before="0" w:after="0"/>
    </w:pPr>
  </w:style>
  <w:style w:type="character" w:customStyle="1" w:styleId="FooterChar">
    <w:name w:val="Footer Char"/>
    <w:link w:val="Footer"/>
    <w:uiPriority w:val="99"/>
    <w:rsid w:val="000006BD"/>
    <w:rPr>
      <w:rFonts w:ascii="Calibri" w:hAnsi="Calibri" w:cs="Arial"/>
      <w:szCs w:val="28"/>
    </w:rPr>
  </w:style>
  <w:style w:type="paragraph" w:customStyle="1" w:styleId="PositionPaper">
    <w:name w:val="Position Paper"/>
    <w:basedOn w:val="Title"/>
    <w:link w:val="PositionPaperChar"/>
    <w:qFormat/>
    <w:rsid w:val="00755165"/>
    <w:rPr>
      <w:sz w:val="40"/>
      <w:szCs w:val="40"/>
    </w:rPr>
  </w:style>
  <w:style w:type="character" w:customStyle="1" w:styleId="PositionPaperChar">
    <w:name w:val="Position Paper Char"/>
    <w:link w:val="PositionPaper"/>
    <w:rsid w:val="00755165"/>
    <w:rPr>
      <w:rFonts w:ascii="Century Gothic" w:eastAsia="Times New Roman" w:hAnsi="Century Gothic" w:cs="Times New Roman"/>
      <w:b/>
      <w:color w:val="0070C0"/>
      <w:spacing w:val="5"/>
      <w:kern w:val="28"/>
      <w:sz w:val="40"/>
      <w:szCs w:val="40"/>
    </w:rPr>
  </w:style>
  <w:style w:type="paragraph" w:styleId="Revision">
    <w:name w:val="Revision"/>
    <w:hidden/>
    <w:uiPriority w:val="99"/>
    <w:semiHidden/>
    <w:rsid w:val="003C0B63"/>
    <w:rPr>
      <w:rFonts w:ascii="Calibri" w:hAnsi="Calibri" w:cs="Arial"/>
      <w:sz w:val="28"/>
      <w:szCs w:val="28"/>
      <w:lang w:eastAsia="en-US"/>
    </w:rPr>
  </w:style>
  <w:style w:type="paragraph" w:styleId="TOC4">
    <w:name w:val="toc 4"/>
    <w:basedOn w:val="Normal"/>
    <w:next w:val="Normal"/>
    <w:autoRedefine/>
    <w:uiPriority w:val="39"/>
    <w:unhideWhenUsed/>
    <w:rsid w:val="00FD0B06"/>
    <w:pPr>
      <w:spacing w:before="0" w:after="0"/>
      <w:ind w:left="440"/>
    </w:pPr>
    <w:rPr>
      <w:rFonts w:asciiTheme="minorHAnsi" w:hAnsiTheme="minorHAnsi"/>
      <w:sz w:val="20"/>
      <w:szCs w:val="20"/>
    </w:rPr>
  </w:style>
  <w:style w:type="paragraph" w:styleId="TOC5">
    <w:name w:val="toc 5"/>
    <w:basedOn w:val="Normal"/>
    <w:next w:val="Normal"/>
    <w:autoRedefine/>
    <w:uiPriority w:val="39"/>
    <w:unhideWhenUsed/>
    <w:rsid w:val="00FD0B06"/>
    <w:pPr>
      <w:spacing w:before="0" w:after="0"/>
      <w:ind w:left="660"/>
    </w:pPr>
    <w:rPr>
      <w:rFonts w:asciiTheme="minorHAnsi" w:hAnsiTheme="minorHAnsi"/>
      <w:sz w:val="20"/>
      <w:szCs w:val="20"/>
    </w:rPr>
  </w:style>
  <w:style w:type="paragraph" w:styleId="TOC6">
    <w:name w:val="toc 6"/>
    <w:basedOn w:val="Normal"/>
    <w:next w:val="Normal"/>
    <w:autoRedefine/>
    <w:uiPriority w:val="39"/>
    <w:unhideWhenUsed/>
    <w:rsid w:val="00FD0B06"/>
    <w:pPr>
      <w:spacing w:before="0" w:after="0"/>
      <w:ind w:left="880"/>
    </w:pPr>
    <w:rPr>
      <w:rFonts w:asciiTheme="minorHAnsi" w:hAnsiTheme="minorHAnsi"/>
      <w:sz w:val="20"/>
      <w:szCs w:val="20"/>
    </w:rPr>
  </w:style>
  <w:style w:type="paragraph" w:styleId="TOC7">
    <w:name w:val="toc 7"/>
    <w:basedOn w:val="Normal"/>
    <w:next w:val="Normal"/>
    <w:autoRedefine/>
    <w:uiPriority w:val="39"/>
    <w:unhideWhenUsed/>
    <w:rsid w:val="00FD0B06"/>
    <w:pPr>
      <w:spacing w:before="0" w:after="0"/>
      <w:ind w:left="1100"/>
    </w:pPr>
    <w:rPr>
      <w:rFonts w:asciiTheme="minorHAnsi" w:hAnsiTheme="minorHAnsi"/>
      <w:sz w:val="20"/>
      <w:szCs w:val="20"/>
    </w:rPr>
  </w:style>
  <w:style w:type="paragraph" w:styleId="TOC8">
    <w:name w:val="toc 8"/>
    <w:basedOn w:val="Normal"/>
    <w:next w:val="Normal"/>
    <w:autoRedefine/>
    <w:uiPriority w:val="39"/>
    <w:unhideWhenUsed/>
    <w:rsid w:val="00FD0B06"/>
    <w:pPr>
      <w:spacing w:before="0" w:after="0"/>
      <w:ind w:left="1320"/>
    </w:pPr>
    <w:rPr>
      <w:rFonts w:asciiTheme="minorHAnsi" w:hAnsiTheme="minorHAnsi"/>
      <w:sz w:val="20"/>
      <w:szCs w:val="20"/>
    </w:rPr>
  </w:style>
  <w:style w:type="paragraph" w:styleId="TOC9">
    <w:name w:val="toc 9"/>
    <w:basedOn w:val="Normal"/>
    <w:next w:val="Normal"/>
    <w:autoRedefine/>
    <w:uiPriority w:val="39"/>
    <w:unhideWhenUsed/>
    <w:rsid w:val="00FD0B06"/>
    <w:pPr>
      <w:spacing w:before="0" w:after="0"/>
      <w:ind w:left="1540"/>
    </w:pPr>
    <w:rPr>
      <w:rFonts w:asciiTheme="minorHAnsi" w:hAnsiTheme="minorHAnsi"/>
      <w:sz w:val="20"/>
      <w:szCs w:val="20"/>
    </w:rPr>
  </w:style>
  <w:style w:type="paragraph" w:styleId="NormalWeb">
    <w:name w:val="Normal (Web)"/>
    <w:basedOn w:val="Normal"/>
    <w:uiPriority w:val="99"/>
    <w:unhideWhenUsed/>
    <w:rsid w:val="00B120A8"/>
    <w:pPr>
      <w:numPr>
        <w:numId w:val="0"/>
      </w:numPr>
      <w:spacing w:before="100" w:beforeAutospacing="1" w:after="100" w:afterAutospacing="1"/>
    </w:pPr>
    <w:rPr>
      <w:rFonts w:ascii="Times New Roman" w:eastAsia="Times New Roman" w:hAnsi="Times New Roman" w:cs="Times New Roman"/>
      <w:sz w:val="24"/>
      <w:szCs w:val="24"/>
      <w:lang w:eastAsia="en-ZA"/>
    </w:rPr>
  </w:style>
  <w:style w:type="paragraph" w:customStyle="1" w:styleId="Default">
    <w:name w:val="Default"/>
    <w:rsid w:val="00087BDB"/>
    <w:pPr>
      <w:autoSpaceDE w:val="0"/>
      <w:autoSpaceDN w:val="0"/>
      <w:adjustRightInd w:val="0"/>
    </w:pPr>
    <w:rPr>
      <w:rFonts w:ascii="Trebuchet MS" w:hAnsi="Trebuchet MS" w:cs="Trebuchet MS"/>
      <w:color w:val="000000"/>
      <w:sz w:val="24"/>
      <w:szCs w:val="24"/>
      <w:lang w:eastAsia="en-US"/>
    </w:rPr>
  </w:style>
  <w:style w:type="paragraph" w:customStyle="1" w:styleId="StyleListParagraphBefore6ptAfter6pt">
    <w:name w:val="Style List Paragraph + Before:  6 pt After:  6 pt"/>
    <w:basedOn w:val="ListParagraph"/>
    <w:rsid w:val="00393494"/>
    <w:rPr>
      <w:rFonts w:eastAsia="Times New Roman" w:cs="Times New Roman"/>
      <w:szCs w:val="20"/>
    </w:rPr>
  </w:style>
  <w:style w:type="table" w:styleId="ListTable4-Accent6">
    <w:name w:val="List Table 4 Accent 6"/>
    <w:basedOn w:val="TableNormal"/>
    <w:uiPriority w:val="49"/>
    <w:rsid w:val="002C6420"/>
    <w:tblPr>
      <w:tblStyleRowBandSize w:val="1"/>
      <w:tblStyleColBandSize w:val="1"/>
      <w:tblBorders>
        <w:top w:val="single" w:sz="4" w:space="0" w:color="8797C3"/>
        <w:left w:val="single" w:sz="4" w:space="0" w:color="8797C3"/>
        <w:bottom w:val="single" w:sz="4" w:space="0" w:color="8797C3"/>
        <w:right w:val="single" w:sz="4" w:space="0" w:color="8797C3"/>
        <w:insideH w:val="single" w:sz="4" w:space="0" w:color="8797C3"/>
      </w:tblBorders>
    </w:tblPr>
    <w:tblStylePr w:type="firstRow">
      <w:rPr>
        <w:b/>
        <w:bCs/>
        <w:color w:val="FFFFFF"/>
      </w:rPr>
      <w:tblPr/>
      <w:tcPr>
        <w:tcBorders>
          <w:top w:val="single" w:sz="4" w:space="0" w:color="475A8D"/>
          <w:left w:val="single" w:sz="4" w:space="0" w:color="475A8D"/>
          <w:bottom w:val="single" w:sz="4" w:space="0" w:color="475A8D"/>
          <w:right w:val="single" w:sz="4" w:space="0" w:color="475A8D"/>
          <w:insideH w:val="nil"/>
        </w:tcBorders>
        <w:shd w:val="clear" w:color="auto" w:fill="475A8D"/>
      </w:tcPr>
    </w:tblStylePr>
    <w:tblStylePr w:type="lastRow">
      <w:rPr>
        <w:b/>
        <w:bCs/>
      </w:rPr>
      <w:tblPr/>
      <w:tcPr>
        <w:tcBorders>
          <w:top w:val="double" w:sz="4" w:space="0" w:color="8797C3"/>
        </w:tcBorders>
      </w:tcPr>
    </w:tblStylePr>
    <w:tblStylePr w:type="firstCol">
      <w:rPr>
        <w:b/>
        <w:bCs/>
      </w:rPr>
    </w:tblStylePr>
    <w:tblStylePr w:type="lastCol">
      <w:rPr>
        <w:b/>
        <w:bCs/>
      </w:rPr>
    </w:tblStylePr>
    <w:tblStylePr w:type="band1Vert">
      <w:tblPr/>
      <w:tcPr>
        <w:shd w:val="clear" w:color="auto" w:fill="D7DCEB"/>
      </w:tcPr>
    </w:tblStylePr>
    <w:tblStylePr w:type="band1Horz">
      <w:tblPr/>
      <w:tcPr>
        <w:shd w:val="clear" w:color="auto" w:fill="D7DCEB"/>
      </w:tcPr>
    </w:tblStylePr>
  </w:style>
  <w:style w:type="table" w:customStyle="1" w:styleId="ListTable4-Accent61">
    <w:name w:val="List Table 4 - Accent 61"/>
    <w:basedOn w:val="TableNormal"/>
    <w:uiPriority w:val="49"/>
    <w:rsid w:val="00437969"/>
    <w:tblPr>
      <w:tblStyleRowBandSize w:val="1"/>
      <w:tblStyleColBandSize w:val="1"/>
      <w:tblBorders>
        <w:top w:val="single" w:sz="4" w:space="0" w:color="8797C3"/>
        <w:left w:val="single" w:sz="4" w:space="0" w:color="8797C3"/>
        <w:bottom w:val="single" w:sz="4" w:space="0" w:color="8797C3"/>
        <w:right w:val="single" w:sz="4" w:space="0" w:color="8797C3"/>
        <w:insideH w:val="single" w:sz="4" w:space="0" w:color="8797C3"/>
      </w:tblBorders>
    </w:tblPr>
    <w:tblStylePr w:type="firstRow">
      <w:rPr>
        <w:b/>
        <w:bCs/>
        <w:color w:val="FFFFFF"/>
      </w:rPr>
      <w:tblPr/>
      <w:tcPr>
        <w:tcBorders>
          <w:top w:val="single" w:sz="4" w:space="0" w:color="475A8D"/>
          <w:left w:val="single" w:sz="4" w:space="0" w:color="475A8D"/>
          <w:bottom w:val="single" w:sz="4" w:space="0" w:color="475A8D"/>
          <w:right w:val="single" w:sz="4" w:space="0" w:color="475A8D"/>
          <w:insideH w:val="nil"/>
        </w:tcBorders>
        <w:shd w:val="clear" w:color="auto" w:fill="475A8D"/>
      </w:tcPr>
    </w:tblStylePr>
    <w:tblStylePr w:type="lastRow">
      <w:rPr>
        <w:b/>
        <w:bCs/>
      </w:rPr>
      <w:tblPr/>
      <w:tcPr>
        <w:tcBorders>
          <w:top w:val="double" w:sz="4" w:space="0" w:color="8797C3"/>
        </w:tcBorders>
      </w:tcPr>
    </w:tblStylePr>
    <w:tblStylePr w:type="firstCol">
      <w:rPr>
        <w:b/>
        <w:bCs/>
      </w:rPr>
    </w:tblStylePr>
    <w:tblStylePr w:type="lastCol">
      <w:rPr>
        <w:b/>
        <w:bCs/>
      </w:rPr>
    </w:tblStylePr>
    <w:tblStylePr w:type="band1Vert">
      <w:tblPr/>
      <w:tcPr>
        <w:shd w:val="clear" w:color="auto" w:fill="D7DCEB"/>
      </w:tcPr>
    </w:tblStylePr>
    <w:tblStylePr w:type="band1Horz">
      <w:tblPr/>
      <w:tcPr>
        <w:shd w:val="clear" w:color="auto" w:fill="D7DCEB"/>
      </w:tcPr>
    </w:tblStylePr>
  </w:style>
  <w:style w:type="table" w:customStyle="1" w:styleId="MediumShading2-Accent11">
    <w:name w:val="Medium Shading 2 - Accent 11"/>
    <w:basedOn w:val="TableNormal"/>
    <w:uiPriority w:val="64"/>
    <w:rsid w:val="007579B1"/>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ListParagraphChar">
    <w:name w:val="List Paragraph Char"/>
    <w:link w:val="ListParagraph"/>
    <w:uiPriority w:val="34"/>
    <w:rsid w:val="0067084E"/>
    <w:rPr>
      <w:rFonts w:ascii="Calibri" w:hAnsi="Calibri" w:cs="Arial"/>
      <w:szCs w:val="28"/>
    </w:rPr>
  </w:style>
  <w:style w:type="paragraph" w:customStyle="1" w:styleId="BulletLevelParagraph">
    <w:name w:val="Bullet Level Paragraph"/>
    <w:basedOn w:val="ListParagraph"/>
    <w:link w:val="BulletLevelParagraphChar"/>
    <w:qFormat/>
    <w:rsid w:val="0067084E"/>
    <w:pPr>
      <w:numPr>
        <w:ilvl w:val="0"/>
        <w:numId w:val="0"/>
      </w:numPr>
      <w:ind w:left="1135" w:right="0" w:hanging="284"/>
      <w:jc w:val="both"/>
    </w:pPr>
    <w:rPr>
      <w:rFonts w:eastAsia="Times New Roman"/>
      <w:sz w:val="26"/>
      <w:szCs w:val="26"/>
      <w:lang w:eastAsia="en-ZA"/>
    </w:rPr>
  </w:style>
  <w:style w:type="character" w:customStyle="1" w:styleId="BulletLevelParagraphChar">
    <w:name w:val="Bullet Level Paragraph Char"/>
    <w:link w:val="BulletLevelParagraph"/>
    <w:rsid w:val="0067084E"/>
    <w:rPr>
      <w:rFonts w:ascii="Calibri" w:eastAsia="Times New Roman" w:hAnsi="Calibri" w:cs="Arial"/>
      <w:sz w:val="26"/>
      <w:szCs w:val="26"/>
      <w:lang w:eastAsia="en-ZA"/>
    </w:rPr>
  </w:style>
  <w:style w:type="paragraph" w:customStyle="1" w:styleId="Style2">
    <w:name w:val="Style 2"/>
    <w:basedOn w:val="BulletLevelParagraph"/>
    <w:qFormat/>
    <w:rsid w:val="0067084E"/>
    <w:pPr>
      <w:ind w:left="1418"/>
    </w:pPr>
  </w:style>
  <w:style w:type="character" w:styleId="BookTitle">
    <w:name w:val="Book Title"/>
    <w:uiPriority w:val="33"/>
    <w:qFormat/>
    <w:rsid w:val="00992D3A"/>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2089368">
      <w:bodyDiv w:val="1"/>
      <w:marLeft w:val="90"/>
      <w:marRight w:val="90"/>
      <w:marTop w:val="90"/>
      <w:marBottom w:val="150"/>
      <w:divBdr>
        <w:top w:val="none" w:sz="0" w:space="0" w:color="auto"/>
        <w:left w:val="none" w:sz="0" w:space="0" w:color="auto"/>
        <w:bottom w:val="none" w:sz="0" w:space="0" w:color="auto"/>
        <w:right w:val="none" w:sz="0" w:space="0" w:color="auto"/>
      </w:divBdr>
      <w:divsChild>
        <w:div w:id="344406366">
          <w:marLeft w:val="0"/>
          <w:marRight w:val="0"/>
          <w:marTop w:val="0"/>
          <w:marBottom w:val="0"/>
          <w:divBdr>
            <w:top w:val="none" w:sz="0" w:space="0" w:color="auto"/>
            <w:left w:val="none" w:sz="0" w:space="0" w:color="auto"/>
            <w:bottom w:val="none" w:sz="0" w:space="0" w:color="auto"/>
            <w:right w:val="none" w:sz="0" w:space="0" w:color="auto"/>
          </w:divBdr>
        </w:div>
        <w:div w:id="721448081">
          <w:marLeft w:val="0"/>
          <w:marRight w:val="0"/>
          <w:marTop w:val="0"/>
          <w:marBottom w:val="0"/>
          <w:divBdr>
            <w:top w:val="none" w:sz="0" w:space="0" w:color="auto"/>
            <w:left w:val="none" w:sz="0" w:space="0" w:color="auto"/>
            <w:bottom w:val="none" w:sz="0" w:space="0" w:color="auto"/>
            <w:right w:val="none" w:sz="0" w:space="0" w:color="auto"/>
          </w:divBdr>
        </w:div>
        <w:div w:id="838739692">
          <w:marLeft w:val="0"/>
          <w:marRight w:val="0"/>
          <w:marTop w:val="0"/>
          <w:marBottom w:val="0"/>
          <w:divBdr>
            <w:top w:val="none" w:sz="0" w:space="0" w:color="auto"/>
            <w:left w:val="none" w:sz="0" w:space="0" w:color="auto"/>
            <w:bottom w:val="none" w:sz="0" w:space="0" w:color="auto"/>
            <w:right w:val="none" w:sz="0" w:space="0" w:color="auto"/>
          </w:divBdr>
        </w:div>
        <w:div w:id="894974962">
          <w:marLeft w:val="0"/>
          <w:marRight w:val="0"/>
          <w:marTop w:val="0"/>
          <w:marBottom w:val="0"/>
          <w:divBdr>
            <w:top w:val="none" w:sz="0" w:space="0" w:color="auto"/>
            <w:left w:val="none" w:sz="0" w:space="0" w:color="auto"/>
            <w:bottom w:val="none" w:sz="0" w:space="0" w:color="auto"/>
            <w:right w:val="none" w:sz="0" w:space="0" w:color="auto"/>
          </w:divBdr>
        </w:div>
        <w:div w:id="1325820593">
          <w:marLeft w:val="0"/>
          <w:marRight w:val="0"/>
          <w:marTop w:val="0"/>
          <w:marBottom w:val="0"/>
          <w:divBdr>
            <w:top w:val="none" w:sz="0" w:space="0" w:color="auto"/>
            <w:left w:val="none" w:sz="0" w:space="0" w:color="auto"/>
            <w:bottom w:val="none" w:sz="0" w:space="0" w:color="auto"/>
            <w:right w:val="none" w:sz="0" w:space="0" w:color="auto"/>
          </w:divBdr>
        </w:div>
        <w:div w:id="1449548503">
          <w:marLeft w:val="0"/>
          <w:marRight w:val="0"/>
          <w:marTop w:val="0"/>
          <w:marBottom w:val="0"/>
          <w:divBdr>
            <w:top w:val="none" w:sz="0" w:space="0" w:color="auto"/>
            <w:left w:val="none" w:sz="0" w:space="0" w:color="auto"/>
            <w:bottom w:val="none" w:sz="0" w:space="0" w:color="auto"/>
            <w:right w:val="none" w:sz="0" w:space="0" w:color="auto"/>
          </w:divBdr>
        </w:div>
        <w:div w:id="19006760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www.coso.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so.org/" TargetMode="Externa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customXml" Target="../customXml/item3.xml"/><Relationship Id="rId10" Type="http://schemas.openxmlformats.org/officeDocument/2006/relationships/header" Target="head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6D77BA75D44BC469ABAE46C07B5E9FF" ma:contentTypeVersion="1" ma:contentTypeDescription="Create a new document." ma:contentTypeScope="" ma:versionID="fe50b6b98f897cf800d4d84fb3dd0e49">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DB049F4-3EBB-44C6-A83B-3651E559DF96}"/>
</file>

<file path=customXml/itemProps2.xml><?xml version="1.0" encoding="utf-8"?>
<ds:datastoreItem xmlns:ds="http://schemas.openxmlformats.org/officeDocument/2006/customXml" ds:itemID="{3672686B-BCB5-46D3-812E-1A9043BB6254}"/>
</file>

<file path=customXml/itemProps3.xml><?xml version="1.0" encoding="utf-8"?>
<ds:datastoreItem xmlns:ds="http://schemas.openxmlformats.org/officeDocument/2006/customXml" ds:itemID="{0AC649AD-E0EE-48B7-B08D-4917B5B9977A}"/>
</file>

<file path=customXml/itemProps4.xml><?xml version="1.0" encoding="utf-8"?>
<ds:datastoreItem xmlns:ds="http://schemas.openxmlformats.org/officeDocument/2006/customXml" ds:itemID="{C20A80A5-3EA9-4DF8-BBFA-21C9C9255BF0}"/>
</file>

<file path=docProps/app.xml><?xml version="1.0" encoding="utf-8"?>
<Properties xmlns="http://schemas.openxmlformats.org/officeDocument/2006/extended-properties" xmlns:vt="http://schemas.openxmlformats.org/officeDocument/2006/docPropsVTypes">
  <Template>Normal</Template>
  <TotalTime>39</TotalTime>
  <Pages>30</Pages>
  <Words>8342</Words>
  <Characters>47555</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55786</CharactersWithSpaces>
  <SharedDoc>false</SharedDoc>
  <HLinks>
    <vt:vector size="102" baseType="variant">
      <vt:variant>
        <vt:i4>4718680</vt:i4>
      </vt:variant>
      <vt:variant>
        <vt:i4>99</vt:i4>
      </vt:variant>
      <vt:variant>
        <vt:i4>0</vt:i4>
      </vt:variant>
      <vt:variant>
        <vt:i4>5</vt:i4>
      </vt:variant>
      <vt:variant>
        <vt:lpwstr>http://www.coso.org/</vt:lpwstr>
      </vt:variant>
      <vt:variant>
        <vt:lpwstr/>
      </vt:variant>
      <vt:variant>
        <vt:i4>4718680</vt:i4>
      </vt:variant>
      <vt:variant>
        <vt:i4>93</vt:i4>
      </vt:variant>
      <vt:variant>
        <vt:i4>0</vt:i4>
      </vt:variant>
      <vt:variant>
        <vt:i4>5</vt:i4>
      </vt:variant>
      <vt:variant>
        <vt:lpwstr>http://www.coso.org/</vt:lpwstr>
      </vt:variant>
      <vt:variant>
        <vt:lpwstr/>
      </vt:variant>
      <vt:variant>
        <vt:i4>1966128</vt:i4>
      </vt:variant>
      <vt:variant>
        <vt:i4>86</vt:i4>
      </vt:variant>
      <vt:variant>
        <vt:i4>0</vt:i4>
      </vt:variant>
      <vt:variant>
        <vt:i4>5</vt:i4>
      </vt:variant>
      <vt:variant>
        <vt:lpwstr/>
      </vt:variant>
      <vt:variant>
        <vt:lpwstr>_Toc456778532</vt:lpwstr>
      </vt:variant>
      <vt:variant>
        <vt:i4>1966128</vt:i4>
      </vt:variant>
      <vt:variant>
        <vt:i4>80</vt:i4>
      </vt:variant>
      <vt:variant>
        <vt:i4>0</vt:i4>
      </vt:variant>
      <vt:variant>
        <vt:i4>5</vt:i4>
      </vt:variant>
      <vt:variant>
        <vt:lpwstr/>
      </vt:variant>
      <vt:variant>
        <vt:lpwstr>_Toc456778531</vt:lpwstr>
      </vt:variant>
      <vt:variant>
        <vt:i4>1966128</vt:i4>
      </vt:variant>
      <vt:variant>
        <vt:i4>74</vt:i4>
      </vt:variant>
      <vt:variant>
        <vt:i4>0</vt:i4>
      </vt:variant>
      <vt:variant>
        <vt:i4>5</vt:i4>
      </vt:variant>
      <vt:variant>
        <vt:lpwstr/>
      </vt:variant>
      <vt:variant>
        <vt:lpwstr>_Toc456778530</vt:lpwstr>
      </vt:variant>
      <vt:variant>
        <vt:i4>2031664</vt:i4>
      </vt:variant>
      <vt:variant>
        <vt:i4>68</vt:i4>
      </vt:variant>
      <vt:variant>
        <vt:i4>0</vt:i4>
      </vt:variant>
      <vt:variant>
        <vt:i4>5</vt:i4>
      </vt:variant>
      <vt:variant>
        <vt:lpwstr/>
      </vt:variant>
      <vt:variant>
        <vt:lpwstr>_Toc456778529</vt:lpwstr>
      </vt:variant>
      <vt:variant>
        <vt:i4>2031664</vt:i4>
      </vt:variant>
      <vt:variant>
        <vt:i4>62</vt:i4>
      </vt:variant>
      <vt:variant>
        <vt:i4>0</vt:i4>
      </vt:variant>
      <vt:variant>
        <vt:i4>5</vt:i4>
      </vt:variant>
      <vt:variant>
        <vt:lpwstr/>
      </vt:variant>
      <vt:variant>
        <vt:lpwstr>_Toc456778528</vt:lpwstr>
      </vt:variant>
      <vt:variant>
        <vt:i4>2031664</vt:i4>
      </vt:variant>
      <vt:variant>
        <vt:i4>56</vt:i4>
      </vt:variant>
      <vt:variant>
        <vt:i4>0</vt:i4>
      </vt:variant>
      <vt:variant>
        <vt:i4>5</vt:i4>
      </vt:variant>
      <vt:variant>
        <vt:lpwstr/>
      </vt:variant>
      <vt:variant>
        <vt:lpwstr>_Toc456778527</vt:lpwstr>
      </vt:variant>
      <vt:variant>
        <vt:i4>2031664</vt:i4>
      </vt:variant>
      <vt:variant>
        <vt:i4>50</vt:i4>
      </vt:variant>
      <vt:variant>
        <vt:i4>0</vt:i4>
      </vt:variant>
      <vt:variant>
        <vt:i4>5</vt:i4>
      </vt:variant>
      <vt:variant>
        <vt:lpwstr/>
      </vt:variant>
      <vt:variant>
        <vt:lpwstr>_Toc456778526</vt:lpwstr>
      </vt:variant>
      <vt:variant>
        <vt:i4>2031664</vt:i4>
      </vt:variant>
      <vt:variant>
        <vt:i4>44</vt:i4>
      </vt:variant>
      <vt:variant>
        <vt:i4>0</vt:i4>
      </vt:variant>
      <vt:variant>
        <vt:i4>5</vt:i4>
      </vt:variant>
      <vt:variant>
        <vt:lpwstr/>
      </vt:variant>
      <vt:variant>
        <vt:lpwstr>_Toc456778525</vt:lpwstr>
      </vt:variant>
      <vt:variant>
        <vt:i4>2031664</vt:i4>
      </vt:variant>
      <vt:variant>
        <vt:i4>38</vt:i4>
      </vt:variant>
      <vt:variant>
        <vt:i4>0</vt:i4>
      </vt:variant>
      <vt:variant>
        <vt:i4>5</vt:i4>
      </vt:variant>
      <vt:variant>
        <vt:lpwstr/>
      </vt:variant>
      <vt:variant>
        <vt:lpwstr>_Toc456778524</vt:lpwstr>
      </vt:variant>
      <vt:variant>
        <vt:i4>2031664</vt:i4>
      </vt:variant>
      <vt:variant>
        <vt:i4>32</vt:i4>
      </vt:variant>
      <vt:variant>
        <vt:i4>0</vt:i4>
      </vt:variant>
      <vt:variant>
        <vt:i4>5</vt:i4>
      </vt:variant>
      <vt:variant>
        <vt:lpwstr/>
      </vt:variant>
      <vt:variant>
        <vt:lpwstr>_Toc456778523</vt:lpwstr>
      </vt:variant>
      <vt:variant>
        <vt:i4>2031664</vt:i4>
      </vt:variant>
      <vt:variant>
        <vt:i4>26</vt:i4>
      </vt:variant>
      <vt:variant>
        <vt:i4>0</vt:i4>
      </vt:variant>
      <vt:variant>
        <vt:i4>5</vt:i4>
      </vt:variant>
      <vt:variant>
        <vt:lpwstr/>
      </vt:variant>
      <vt:variant>
        <vt:lpwstr>_Toc456778522</vt:lpwstr>
      </vt:variant>
      <vt:variant>
        <vt:i4>2031664</vt:i4>
      </vt:variant>
      <vt:variant>
        <vt:i4>20</vt:i4>
      </vt:variant>
      <vt:variant>
        <vt:i4>0</vt:i4>
      </vt:variant>
      <vt:variant>
        <vt:i4>5</vt:i4>
      </vt:variant>
      <vt:variant>
        <vt:lpwstr/>
      </vt:variant>
      <vt:variant>
        <vt:lpwstr>_Toc456778521</vt:lpwstr>
      </vt:variant>
      <vt:variant>
        <vt:i4>2031664</vt:i4>
      </vt:variant>
      <vt:variant>
        <vt:i4>14</vt:i4>
      </vt:variant>
      <vt:variant>
        <vt:i4>0</vt:i4>
      </vt:variant>
      <vt:variant>
        <vt:i4>5</vt:i4>
      </vt:variant>
      <vt:variant>
        <vt:lpwstr/>
      </vt:variant>
      <vt:variant>
        <vt:lpwstr>_Toc456778520</vt:lpwstr>
      </vt:variant>
      <vt:variant>
        <vt:i4>1835056</vt:i4>
      </vt:variant>
      <vt:variant>
        <vt:i4>8</vt:i4>
      </vt:variant>
      <vt:variant>
        <vt:i4>0</vt:i4>
      </vt:variant>
      <vt:variant>
        <vt:i4>5</vt:i4>
      </vt:variant>
      <vt:variant>
        <vt:lpwstr/>
      </vt:variant>
      <vt:variant>
        <vt:lpwstr>_Toc456778519</vt:lpwstr>
      </vt:variant>
      <vt:variant>
        <vt:i4>1835056</vt:i4>
      </vt:variant>
      <vt:variant>
        <vt:i4>2</vt:i4>
      </vt:variant>
      <vt:variant>
        <vt:i4>0</vt:i4>
      </vt:variant>
      <vt:variant>
        <vt:i4>5</vt:i4>
      </vt:variant>
      <vt:variant>
        <vt:lpwstr/>
      </vt:variant>
      <vt:variant>
        <vt:lpwstr>_Toc456778518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dc:creator>
  <cp:keywords/>
  <cp:lastModifiedBy>Elsabe Rossouw</cp:lastModifiedBy>
  <cp:revision>7</cp:revision>
  <cp:lastPrinted>2016-10-18T12:59:00Z</cp:lastPrinted>
  <dcterms:created xsi:type="dcterms:W3CDTF">2016-11-04T11:35:00Z</dcterms:created>
  <dcterms:modified xsi:type="dcterms:W3CDTF">2016-11-04T13:27:00Z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0x010100F6D77BA75D44BC469ABAE46C07B5E9FF</vt:lpwstr>
  </property>
</Properties>
</file>