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B9"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Position papers do not have any legal status in its own right.  Subject matters dealt with in position papers are identified for specific consideration and may be matters controversial in nature</w:t>
      </w:r>
      <w:r w:rsidR="00807139" w:rsidRPr="00695A56">
        <w:rPr>
          <w:rFonts w:ascii="Arial" w:hAnsi="Arial" w:cs="Arial"/>
          <w:color w:val="996600"/>
          <w:sz w:val="24"/>
          <w:szCs w:val="24"/>
          <w:lang w:val="en-GB" w:eastAsia="en-GB"/>
        </w:rPr>
        <w:t xml:space="preserve">. </w:t>
      </w:r>
      <w:r w:rsidRPr="00695A56">
        <w:rPr>
          <w:rFonts w:ascii="Arial" w:hAnsi="Arial" w:cs="Arial"/>
          <w:color w:val="996600"/>
          <w:sz w:val="24"/>
          <w:szCs w:val="24"/>
          <w:lang w:val="en-GB" w:eastAsia="en-GB"/>
        </w:rPr>
        <w:t xml:space="preserve"> </w:t>
      </w:r>
      <w:r w:rsidR="00807139" w:rsidRPr="00695A56">
        <w:rPr>
          <w:rFonts w:ascii="Arial" w:hAnsi="Arial" w:cs="Arial"/>
          <w:color w:val="996600"/>
          <w:sz w:val="24"/>
          <w:szCs w:val="24"/>
          <w:lang w:val="en-GB" w:eastAsia="en-GB"/>
        </w:rPr>
        <w:t>A</w:t>
      </w:r>
      <w:r w:rsidRPr="00695A56">
        <w:rPr>
          <w:rFonts w:ascii="Arial" w:hAnsi="Arial" w:cs="Arial"/>
          <w:color w:val="996600"/>
          <w:sz w:val="24"/>
          <w:szCs w:val="24"/>
          <w:lang w:val="en-GB" w:eastAsia="en-GB"/>
        </w:rPr>
        <w:t xml:space="preserve">ccounting treatment become relevant in order to achieve consistencies in classification throughout the local government sector.  </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3B17B9"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 xml:space="preserve">Position papers need to be read together with the Project Summary Document as updated periodically by National Treasury.  </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3B17B9"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 xml:space="preserve">Position papers DO NOT replace any National Treasury guidelines, circulars, practice notes or implementation guidelines.  </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3B17B9"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 xml:space="preserve">Position papers are prepared by the mSCOA Project Team based on information collected through the mSCOA Project Lifecycle.  Consultation with interested parties may be necessary in concluding on subject matters.  </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3B17B9"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 xml:space="preserve">Terminology applied in the position paper will be specifically defined for updating the Standard Terminology list as published on the National Treasury web as part of the </w:t>
      </w:r>
      <w:proofErr w:type="spellStart"/>
      <w:r w:rsidRPr="00695A56">
        <w:rPr>
          <w:rFonts w:ascii="Arial" w:hAnsi="Arial" w:cs="Arial"/>
          <w:color w:val="996600"/>
          <w:sz w:val="24"/>
          <w:szCs w:val="24"/>
          <w:lang w:val="en-GB" w:eastAsia="en-GB"/>
        </w:rPr>
        <w:t>mSCOA</w:t>
      </w:r>
      <w:proofErr w:type="spellEnd"/>
      <w:r w:rsidRPr="00695A56">
        <w:rPr>
          <w:rFonts w:ascii="Arial" w:hAnsi="Arial" w:cs="Arial"/>
          <w:color w:val="996600"/>
          <w:sz w:val="24"/>
          <w:szCs w:val="24"/>
          <w:lang w:val="en-GB" w:eastAsia="en-GB"/>
        </w:rPr>
        <w:t xml:space="preserve"> project documents.</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695A56"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Frequently asked questions are used as part of the basis for research to cross reference to the specific queries for retaining the completeness of this source of information</w:t>
      </w:r>
    </w:p>
    <w:p w:rsidR="003B17B9" w:rsidRPr="00695A56"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 xml:space="preserve">.  </w:t>
      </w:r>
    </w:p>
    <w:p w:rsidR="003B17B9" w:rsidRDefault="006A38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Position Papers guide</w:t>
      </w:r>
      <w:r w:rsidR="003B17B9" w:rsidRPr="00695A56">
        <w:rPr>
          <w:rFonts w:ascii="Arial" w:hAnsi="Arial" w:cs="Arial"/>
          <w:color w:val="996600"/>
          <w:sz w:val="24"/>
          <w:szCs w:val="24"/>
          <w:lang w:val="en-GB" w:eastAsia="en-GB"/>
        </w:rPr>
        <w:t xml:space="preserve"> National Treasury </w:t>
      </w:r>
      <w:r w:rsidRPr="00695A56">
        <w:rPr>
          <w:rFonts w:ascii="Arial" w:hAnsi="Arial" w:cs="Arial"/>
          <w:color w:val="996600"/>
          <w:sz w:val="24"/>
          <w:szCs w:val="24"/>
          <w:lang w:val="en-GB" w:eastAsia="en-GB"/>
        </w:rPr>
        <w:t xml:space="preserve">to reach conclusions </w:t>
      </w:r>
      <w:r w:rsidR="003B17B9" w:rsidRPr="00695A56">
        <w:rPr>
          <w:rFonts w:ascii="Arial" w:hAnsi="Arial" w:cs="Arial"/>
          <w:color w:val="996600"/>
          <w:sz w:val="24"/>
          <w:szCs w:val="24"/>
          <w:lang w:val="en-GB" w:eastAsia="en-GB"/>
        </w:rPr>
        <w:t xml:space="preserve">after </w:t>
      </w:r>
      <w:r w:rsidRPr="00695A56">
        <w:rPr>
          <w:rFonts w:ascii="Arial" w:hAnsi="Arial" w:cs="Arial"/>
          <w:color w:val="996600"/>
          <w:sz w:val="24"/>
          <w:szCs w:val="24"/>
          <w:lang w:val="en-GB" w:eastAsia="en-GB"/>
        </w:rPr>
        <w:t>having engaged in</w:t>
      </w:r>
      <w:r w:rsidR="003B17B9" w:rsidRPr="00695A56">
        <w:rPr>
          <w:rFonts w:ascii="Arial" w:hAnsi="Arial" w:cs="Arial"/>
          <w:color w:val="996600"/>
          <w:sz w:val="24"/>
          <w:szCs w:val="24"/>
          <w:lang w:val="en-GB" w:eastAsia="en-GB"/>
        </w:rPr>
        <w:t xml:space="preserve"> consultation as may be defined by the mSCOA Technical Work Group, and supplemented by the views of the mSCOA Project Steering Committee.  </w:t>
      </w:r>
    </w:p>
    <w:p w:rsidR="00695A56" w:rsidRPr="00695A56" w:rsidRDefault="00695A56"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3B17B9" w:rsidRPr="00695A56" w:rsidRDefault="003B17B9"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695A56">
        <w:rPr>
          <w:rFonts w:ascii="Arial" w:hAnsi="Arial" w:cs="Arial"/>
          <w:color w:val="996600"/>
          <w:sz w:val="24"/>
          <w:szCs w:val="24"/>
          <w:lang w:val="en-GB" w:eastAsia="en-GB"/>
        </w:rPr>
        <w:t>Recommendations to the mSCOA Project Steering Committee may include appropriate reference to any National Treasury documentation requiring review</w:t>
      </w:r>
      <w:r w:rsidR="00807139" w:rsidRPr="00695A56">
        <w:rPr>
          <w:rFonts w:ascii="Arial" w:hAnsi="Arial" w:cs="Arial"/>
          <w:color w:val="996600"/>
          <w:sz w:val="24"/>
          <w:szCs w:val="24"/>
          <w:lang w:val="en-GB" w:eastAsia="en-GB"/>
        </w:rPr>
        <w:t>,</w:t>
      </w:r>
      <w:r w:rsidRPr="00695A56">
        <w:rPr>
          <w:rFonts w:ascii="Arial" w:hAnsi="Arial" w:cs="Arial"/>
          <w:color w:val="996600"/>
          <w:sz w:val="24"/>
          <w:szCs w:val="24"/>
          <w:lang w:val="en-GB" w:eastAsia="en-GB"/>
        </w:rPr>
        <w:t xml:space="preserve"> following the conclusion</w:t>
      </w:r>
      <w:r w:rsidR="00807139" w:rsidRPr="00695A56">
        <w:rPr>
          <w:rFonts w:ascii="Arial" w:hAnsi="Arial" w:cs="Arial"/>
          <w:color w:val="996600"/>
          <w:sz w:val="24"/>
          <w:szCs w:val="24"/>
          <w:lang w:val="en-GB" w:eastAsia="en-GB"/>
        </w:rPr>
        <w:t xml:space="preserve"> reached</w:t>
      </w:r>
      <w:r w:rsidRPr="00695A56">
        <w:rPr>
          <w:rFonts w:ascii="Arial" w:hAnsi="Arial" w:cs="Arial"/>
          <w:color w:val="996600"/>
          <w:sz w:val="24"/>
          <w:szCs w:val="24"/>
          <w:lang w:val="en-GB" w:eastAsia="en-GB"/>
        </w:rPr>
        <w:t xml:space="preserve"> on the position paper.</w:t>
      </w:r>
    </w:p>
    <w:p w:rsidR="00796AD0" w:rsidRPr="00695A56" w:rsidRDefault="00796AD0" w:rsidP="00695A56">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sectPr w:rsidR="00796AD0" w:rsidRPr="00695A56" w:rsidSect="00695A56">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rsidR="00E408EE" w:rsidRPr="00695A56" w:rsidRDefault="00E408EE" w:rsidP="00DA4B74">
      <w:pPr>
        <w:pStyle w:val="TOCHeading"/>
        <w:jc w:val="both"/>
        <w:rPr>
          <w:rFonts w:ascii="Arial" w:hAnsi="Arial" w:cs="Arial"/>
          <w:color w:val="auto"/>
          <w:sz w:val="24"/>
          <w:szCs w:val="24"/>
        </w:rPr>
      </w:pPr>
      <w:r w:rsidRPr="00695A56">
        <w:rPr>
          <w:rFonts w:ascii="Arial" w:hAnsi="Arial" w:cs="Arial"/>
          <w:color w:val="auto"/>
          <w:sz w:val="24"/>
          <w:szCs w:val="24"/>
        </w:rPr>
        <w:lastRenderedPageBreak/>
        <w:t>Contents</w:t>
      </w:r>
      <w:bookmarkStart w:id="0" w:name="_GoBack"/>
      <w:bookmarkEnd w:id="0"/>
    </w:p>
    <w:p w:rsidR="00052202" w:rsidRPr="00052202" w:rsidRDefault="00A4399B">
      <w:pPr>
        <w:pStyle w:val="TOC2"/>
        <w:tabs>
          <w:tab w:val="right" w:leader="dot" w:pos="9016"/>
        </w:tabs>
        <w:rPr>
          <w:rFonts w:ascii="Arial" w:eastAsiaTheme="minorEastAsia" w:hAnsi="Arial" w:cs="Arial"/>
          <w:noProof/>
          <w:sz w:val="20"/>
          <w:szCs w:val="20"/>
        </w:rPr>
      </w:pPr>
      <w:r w:rsidRPr="00052202">
        <w:rPr>
          <w:rFonts w:ascii="Arial" w:hAnsi="Arial" w:cs="Arial"/>
          <w:sz w:val="20"/>
          <w:szCs w:val="20"/>
        </w:rPr>
        <w:fldChar w:fldCharType="begin"/>
      </w:r>
      <w:r w:rsidR="00E408EE" w:rsidRPr="00052202">
        <w:rPr>
          <w:rFonts w:ascii="Arial" w:hAnsi="Arial" w:cs="Arial"/>
          <w:sz w:val="20"/>
          <w:szCs w:val="20"/>
        </w:rPr>
        <w:instrText xml:space="preserve"> TOC \o "1-3" \h \z \u </w:instrText>
      </w:r>
      <w:r w:rsidRPr="00052202">
        <w:rPr>
          <w:rFonts w:ascii="Arial" w:hAnsi="Arial" w:cs="Arial"/>
          <w:sz w:val="20"/>
          <w:szCs w:val="20"/>
        </w:rPr>
        <w:fldChar w:fldCharType="separate"/>
      </w:r>
      <w:hyperlink w:anchor="_Toc466034829" w:history="1">
        <w:r w:rsidR="00052202" w:rsidRPr="00052202">
          <w:rPr>
            <w:rStyle w:val="Hyperlink"/>
            <w:rFonts w:ascii="Arial" w:hAnsi="Arial" w:cs="Arial"/>
            <w:noProof/>
            <w:sz w:val="20"/>
            <w:szCs w:val="20"/>
          </w:rPr>
          <w:t>BACKGROUND</w:t>
        </w:r>
        <w:r w:rsidR="00052202" w:rsidRPr="00052202">
          <w:rPr>
            <w:rFonts w:ascii="Arial" w:hAnsi="Arial" w:cs="Arial"/>
            <w:noProof/>
            <w:webHidden/>
            <w:sz w:val="20"/>
            <w:szCs w:val="20"/>
          </w:rPr>
          <w:tab/>
        </w:r>
        <w:r w:rsidR="00052202" w:rsidRPr="00052202">
          <w:rPr>
            <w:rFonts w:ascii="Arial" w:hAnsi="Arial" w:cs="Arial"/>
            <w:noProof/>
            <w:webHidden/>
            <w:sz w:val="20"/>
            <w:szCs w:val="20"/>
          </w:rPr>
          <w:fldChar w:fldCharType="begin"/>
        </w:r>
        <w:r w:rsidR="00052202" w:rsidRPr="00052202">
          <w:rPr>
            <w:rFonts w:ascii="Arial" w:hAnsi="Arial" w:cs="Arial"/>
            <w:noProof/>
            <w:webHidden/>
            <w:sz w:val="20"/>
            <w:szCs w:val="20"/>
          </w:rPr>
          <w:instrText xml:space="preserve"> PAGEREF _Toc466034829 \h </w:instrText>
        </w:r>
        <w:r w:rsidR="00052202" w:rsidRPr="00052202">
          <w:rPr>
            <w:rFonts w:ascii="Arial" w:hAnsi="Arial" w:cs="Arial"/>
            <w:noProof/>
            <w:webHidden/>
            <w:sz w:val="20"/>
            <w:szCs w:val="20"/>
          </w:rPr>
        </w:r>
        <w:r w:rsidR="00052202" w:rsidRPr="00052202">
          <w:rPr>
            <w:rFonts w:ascii="Arial" w:hAnsi="Arial" w:cs="Arial"/>
            <w:noProof/>
            <w:webHidden/>
            <w:sz w:val="20"/>
            <w:szCs w:val="20"/>
          </w:rPr>
          <w:fldChar w:fldCharType="separate"/>
        </w:r>
        <w:r w:rsidR="00052202" w:rsidRPr="00052202">
          <w:rPr>
            <w:rFonts w:ascii="Arial" w:hAnsi="Arial" w:cs="Arial"/>
            <w:noProof/>
            <w:webHidden/>
            <w:sz w:val="20"/>
            <w:szCs w:val="20"/>
          </w:rPr>
          <w:t>4</w:t>
        </w:r>
        <w:r w:rsidR="00052202"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30" w:history="1">
        <w:r w:rsidRPr="00052202">
          <w:rPr>
            <w:rStyle w:val="Hyperlink"/>
            <w:rFonts w:ascii="Arial" w:hAnsi="Arial" w:cs="Arial"/>
            <w:noProof/>
            <w:sz w:val="20"/>
            <w:szCs w:val="20"/>
          </w:rPr>
          <w:t>Guideline for the Implementation of Accounting Standards of Generally Recognised Accounting Practice dated May 2004</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_Toc466034830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5</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31" w:history="1">
        <w:r w:rsidRPr="00052202">
          <w:rPr>
            <w:rStyle w:val="Hyperlink"/>
            <w:rFonts w:ascii="Arial" w:hAnsi="Arial" w:cs="Arial"/>
            <w:noProof/>
            <w:sz w:val="20"/>
            <w:szCs w:val="20"/>
          </w:rPr>
          <w:t>Municipal Finance Management Act No 56 of 2003 (MFMA) Circular No 18 on Accounting Standards Implementation dated 23 June 2005</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_Toc466034831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5</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32" w:history="1">
        <w:r w:rsidRPr="00052202">
          <w:rPr>
            <w:rStyle w:val="Hyperlink"/>
            <w:rFonts w:ascii="Arial" w:hAnsi="Arial" w:cs="Arial"/>
            <w:noProof/>
            <w:sz w:val="20"/>
            <w:szCs w:val="20"/>
          </w:rPr>
          <w:t>The GAP Implementation Guide for Municipalities issued by National Treasury in September 2008</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_Toc466034832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6</w:t>
        </w:r>
        <w:r w:rsidRPr="00052202">
          <w:rPr>
            <w:rFonts w:ascii="Arial" w:hAnsi="Arial" w:cs="Arial"/>
            <w:noProof/>
            <w:webHidden/>
            <w:sz w:val="20"/>
            <w:szCs w:val="20"/>
          </w:rPr>
          <w:fldChar w:fldCharType="end"/>
        </w:r>
      </w:hyperlink>
    </w:p>
    <w:p w:rsidR="00052202" w:rsidRPr="00052202" w:rsidRDefault="00052202">
      <w:pPr>
        <w:pStyle w:val="TOC1"/>
        <w:rPr>
          <w:rFonts w:ascii="Arial" w:eastAsiaTheme="minorEastAsia" w:hAnsi="Arial" w:cs="Arial"/>
          <w:noProof/>
          <w:sz w:val="20"/>
          <w:szCs w:val="20"/>
        </w:rPr>
      </w:pPr>
      <w:hyperlink w:anchor="_Toc466034833" w:history="1">
        <w:r w:rsidRPr="00052202">
          <w:rPr>
            <w:rStyle w:val="Hyperlink"/>
            <w:rFonts w:ascii="Arial" w:hAnsi="Arial" w:cs="Arial"/>
            <w:noProof/>
            <w:sz w:val="20"/>
            <w:szCs w:val="20"/>
          </w:rPr>
          <w:t>THE IMPACT OF THE STANDARDS IMPLEMENTATION PROCESS ON UNBUNDLING FUNDS AND RESERVES ACCOUNTS UTILISED UNDER THE FUND ACCOUNTING MODEL</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_Toc466034833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6</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34" w:history="1">
        <w:r w:rsidRPr="00052202">
          <w:rPr>
            <w:rStyle w:val="Hyperlink"/>
            <w:rFonts w:ascii="Arial" w:hAnsi="Arial" w:cs="Arial"/>
            <w:noProof/>
            <w:sz w:val="20"/>
            <w:szCs w:val="20"/>
          </w:rPr>
          <w:t>THE PROBLEM STATEMENT</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_Toc466034834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6</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35" w:history="1">
        <w:r w:rsidRPr="00052202">
          <w:rPr>
            <w:rStyle w:val="Hyperlink"/>
            <w:rFonts w:ascii="Arial" w:hAnsi="Arial" w:cs="Arial"/>
            <w:noProof/>
            <w:sz w:val="20"/>
            <w:szCs w:val="20"/>
          </w:rPr>
          <w:t>LEGISLATIVE AND ACCOUNTING STANDARDS</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_Toc466034835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7</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36" w:history="1">
        <w:r w:rsidRPr="00052202">
          <w:rPr>
            <w:rStyle w:val="Hyperlink"/>
            <w:rFonts w:ascii="Arial" w:hAnsi="Arial" w:cs="Arial"/>
            <w:noProof/>
            <w:sz w:val="20"/>
            <w:szCs w:val="20"/>
          </w:rPr>
          <w:t>Legislation</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_Toc466034836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7</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37" w:history="1">
        <w:r w:rsidRPr="00052202">
          <w:rPr>
            <w:rStyle w:val="Hyperlink"/>
            <w:rFonts w:ascii="Arial" w:hAnsi="Arial" w:cs="Arial"/>
            <w:noProof/>
            <w:sz w:val="20"/>
            <w:szCs w:val="20"/>
          </w:rPr>
          <w:t>GRAP references</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_Toc466034837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7</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38" w:history="1">
        <w:r w:rsidRPr="00052202">
          <w:rPr>
            <w:rStyle w:val="Hyperlink"/>
            <w:rFonts w:ascii="Arial" w:hAnsi="Arial" w:cs="Arial"/>
            <w:noProof/>
            <w:sz w:val="20"/>
            <w:szCs w:val="20"/>
          </w:rPr>
          <w:t>POSITION OF mSCOA</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_Toc466034838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8</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39" w:history="1">
        <w:r w:rsidRPr="00052202">
          <w:rPr>
            <w:rStyle w:val="Hyperlink"/>
            <w:rFonts w:ascii="Arial" w:hAnsi="Arial" w:cs="Arial"/>
            <w:noProof/>
            <w:sz w:val="20"/>
            <w:szCs w:val="20"/>
          </w:rPr>
          <w:t>NATIONAL TREASURY DOCUMENTS TO BE REVISED FOLLOWING THE ADOPTION OF THIS POSITION PAPER</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_Toc466034839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11</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40" w:history="1">
        <w:r w:rsidRPr="00052202">
          <w:rPr>
            <w:rStyle w:val="Hyperlink"/>
            <w:rFonts w:ascii="Arial" w:hAnsi="Arial" w:cs="Arial"/>
            <w:noProof/>
            <w:sz w:val="20"/>
            <w:szCs w:val="20"/>
          </w:rPr>
          <w:t>CONCLUSION</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_Toc466034840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12</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41" w:history="1">
        <w:r w:rsidRPr="00052202">
          <w:rPr>
            <w:rStyle w:val="Hyperlink"/>
            <w:rFonts w:ascii="Arial" w:hAnsi="Arial" w:cs="Arial"/>
            <w:noProof/>
            <w:sz w:val="20"/>
            <w:szCs w:val="20"/>
          </w:rPr>
          <w:t>RECOMMENDATION</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_Toc466034841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12</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42" w:history="1">
        <w:r w:rsidRPr="00052202">
          <w:rPr>
            <w:rStyle w:val="Hyperlink"/>
            <w:rFonts w:ascii="Arial" w:hAnsi="Arial" w:cs="Arial"/>
            <w:noProof/>
            <w:sz w:val="20"/>
            <w:szCs w:val="20"/>
          </w:rPr>
          <w:t>ANNEXURE A: COMMENTS AND QUERIES RECEIVED INFORMING THE PROBLEM STATEMENT</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_Toc466034842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13</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43" w:history="1">
        <w:r w:rsidRPr="00052202">
          <w:rPr>
            <w:rStyle w:val="Hyperlink"/>
            <w:rFonts w:ascii="Arial" w:hAnsi="Arial" w:cs="Arial"/>
            <w:noProof/>
            <w:sz w:val="20"/>
            <w:szCs w:val="20"/>
          </w:rPr>
          <w:t>ANNEXURE B - MAY 2004 – GUIDELINES FOR THE IMPLEMENTATION OF ACCOUNTING STANDARDS OF GENERALLY RECOGNISED ACCOUNTING PRACTICE</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_Toc466034843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14</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44" w:history="1">
        <w:r w:rsidRPr="00052202">
          <w:rPr>
            <w:rStyle w:val="Hyperlink"/>
            <w:rFonts w:ascii="Arial" w:hAnsi="Arial" w:cs="Arial"/>
            <w:noProof/>
            <w:sz w:val="20"/>
            <w:szCs w:val="20"/>
          </w:rPr>
          <w:t>Summary of Fund Accounts prior to the “New Standards” with the Implementation Requirements</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_Toc466034844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14</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45" w:history="1">
        <w:r w:rsidRPr="00052202">
          <w:rPr>
            <w:rStyle w:val="Hyperlink"/>
            <w:rFonts w:ascii="Arial" w:hAnsi="Arial" w:cs="Arial"/>
            <w:noProof/>
            <w:sz w:val="20"/>
            <w:szCs w:val="20"/>
          </w:rPr>
          <w:t>Unbundling Loans Redeemed and Other Capital Receipts</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_Toc466034845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26</w:t>
        </w:r>
        <w:r w:rsidRPr="00052202">
          <w:rPr>
            <w:rFonts w:ascii="Arial" w:hAnsi="Arial" w:cs="Arial"/>
            <w:noProof/>
            <w:webHidden/>
            <w:sz w:val="20"/>
            <w:szCs w:val="20"/>
          </w:rPr>
          <w:fldChar w:fldCharType="end"/>
        </w:r>
      </w:hyperlink>
    </w:p>
    <w:p w:rsidR="00052202" w:rsidRPr="00052202" w:rsidRDefault="00052202">
      <w:pPr>
        <w:pStyle w:val="TOC2"/>
        <w:tabs>
          <w:tab w:val="right" w:leader="dot" w:pos="9016"/>
        </w:tabs>
        <w:rPr>
          <w:rFonts w:ascii="Arial" w:eastAsiaTheme="minorEastAsia" w:hAnsi="Arial" w:cs="Arial"/>
          <w:noProof/>
          <w:sz w:val="20"/>
          <w:szCs w:val="20"/>
        </w:rPr>
      </w:pPr>
      <w:hyperlink w:anchor="_Toc466034846" w:history="1">
        <w:r w:rsidRPr="00052202">
          <w:rPr>
            <w:rStyle w:val="Hyperlink"/>
            <w:rFonts w:ascii="Arial" w:hAnsi="Arial" w:cs="Arial"/>
            <w:noProof/>
            <w:sz w:val="20"/>
            <w:szCs w:val="20"/>
          </w:rPr>
          <w:t>ANNEXURE C – GUIDELINES FOR THE IMPLEMENTATION OF ACCOUNTING STANDARDS OF GENERALLY RECOGNISED ACCOUNTING PRACTICE ISSUED WITH MFMA CIRCULAR 18 (JUNE 2005)</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_Toc466034846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30</w:t>
        </w:r>
        <w:r w:rsidRPr="00052202">
          <w:rPr>
            <w:rFonts w:ascii="Arial" w:hAnsi="Arial" w:cs="Arial"/>
            <w:noProof/>
            <w:webHidden/>
            <w:sz w:val="20"/>
            <w:szCs w:val="20"/>
          </w:rPr>
          <w:fldChar w:fldCharType="end"/>
        </w:r>
      </w:hyperlink>
    </w:p>
    <w:p w:rsidR="00052202" w:rsidRPr="00052202" w:rsidRDefault="00052202">
      <w:pPr>
        <w:pStyle w:val="TOC3"/>
        <w:tabs>
          <w:tab w:val="right" w:leader="dot" w:pos="9016"/>
        </w:tabs>
        <w:rPr>
          <w:rFonts w:ascii="Arial" w:eastAsiaTheme="minorEastAsia" w:hAnsi="Arial" w:cs="Arial"/>
          <w:noProof/>
          <w:sz w:val="20"/>
          <w:szCs w:val="20"/>
        </w:rPr>
      </w:pPr>
      <w:hyperlink w:anchor="_Toc466034847" w:history="1">
        <w:r w:rsidRPr="00052202">
          <w:rPr>
            <w:rStyle w:val="Hyperlink"/>
            <w:rFonts w:ascii="Arial" w:hAnsi="Arial" w:cs="Arial"/>
            <w:noProof/>
            <w:sz w:val="20"/>
            <w:szCs w:val="20"/>
          </w:rPr>
          <w:t>Process to establish the Capital Replacement Reserve, the Capitalisation Reserve and the External Financing Fund</w:t>
        </w:r>
        <w:r w:rsidRPr="00052202">
          <w:rPr>
            <w:rFonts w:ascii="Arial" w:hAnsi="Arial" w:cs="Arial"/>
            <w:noProof/>
            <w:webHidden/>
            <w:sz w:val="20"/>
            <w:szCs w:val="20"/>
          </w:rPr>
          <w:tab/>
        </w:r>
        <w:r w:rsidRPr="00052202">
          <w:rPr>
            <w:rFonts w:ascii="Arial" w:hAnsi="Arial" w:cs="Arial"/>
            <w:noProof/>
            <w:webHidden/>
            <w:sz w:val="20"/>
            <w:szCs w:val="20"/>
          </w:rPr>
          <w:fldChar w:fldCharType="begin"/>
        </w:r>
        <w:r w:rsidRPr="00052202">
          <w:rPr>
            <w:rFonts w:ascii="Arial" w:hAnsi="Arial" w:cs="Arial"/>
            <w:noProof/>
            <w:webHidden/>
            <w:sz w:val="20"/>
            <w:szCs w:val="20"/>
          </w:rPr>
          <w:instrText xml:space="preserve"> PAGEREF _Toc466034847 \h </w:instrText>
        </w:r>
        <w:r w:rsidRPr="00052202">
          <w:rPr>
            <w:rFonts w:ascii="Arial" w:hAnsi="Arial" w:cs="Arial"/>
            <w:noProof/>
            <w:webHidden/>
            <w:sz w:val="20"/>
            <w:szCs w:val="20"/>
          </w:rPr>
        </w:r>
        <w:r w:rsidRPr="00052202">
          <w:rPr>
            <w:rFonts w:ascii="Arial" w:hAnsi="Arial" w:cs="Arial"/>
            <w:noProof/>
            <w:webHidden/>
            <w:sz w:val="20"/>
            <w:szCs w:val="20"/>
          </w:rPr>
          <w:fldChar w:fldCharType="separate"/>
        </w:r>
        <w:r w:rsidRPr="00052202">
          <w:rPr>
            <w:rFonts w:ascii="Arial" w:hAnsi="Arial" w:cs="Arial"/>
            <w:noProof/>
            <w:webHidden/>
            <w:sz w:val="20"/>
            <w:szCs w:val="20"/>
          </w:rPr>
          <w:t>30</w:t>
        </w:r>
        <w:r w:rsidRPr="00052202">
          <w:rPr>
            <w:rFonts w:ascii="Arial" w:hAnsi="Arial" w:cs="Arial"/>
            <w:noProof/>
            <w:webHidden/>
            <w:sz w:val="20"/>
            <w:szCs w:val="20"/>
          </w:rPr>
          <w:fldChar w:fldCharType="end"/>
        </w:r>
      </w:hyperlink>
    </w:p>
    <w:p w:rsidR="00E815D9" w:rsidRPr="00052202" w:rsidRDefault="00A4399B" w:rsidP="00DA4B74">
      <w:pPr>
        <w:pStyle w:val="TOC2"/>
        <w:tabs>
          <w:tab w:val="right" w:leader="dot" w:pos="9016"/>
        </w:tabs>
        <w:jc w:val="both"/>
        <w:rPr>
          <w:rFonts w:ascii="Arial" w:hAnsi="Arial" w:cs="Arial"/>
          <w:sz w:val="20"/>
          <w:szCs w:val="20"/>
        </w:rPr>
      </w:pPr>
      <w:r w:rsidRPr="00052202">
        <w:rPr>
          <w:rFonts w:ascii="Arial" w:hAnsi="Arial" w:cs="Arial"/>
          <w:sz w:val="20"/>
          <w:szCs w:val="20"/>
        </w:rPr>
        <w:fldChar w:fldCharType="end"/>
      </w:r>
    </w:p>
    <w:p w:rsidR="00E408EE" w:rsidRPr="00DA4B74" w:rsidRDefault="00E408EE" w:rsidP="00DA4B74">
      <w:pPr>
        <w:jc w:val="both"/>
        <w:rPr>
          <w:rFonts w:ascii="Cambria" w:hAnsi="Cambria"/>
          <w:b/>
          <w:bCs/>
          <w:color w:val="365F91"/>
          <w:sz w:val="28"/>
          <w:szCs w:val="28"/>
        </w:rPr>
      </w:pPr>
      <w:r>
        <w:br w:type="page"/>
      </w:r>
    </w:p>
    <w:p w:rsidR="00C67E01" w:rsidRPr="00695A56" w:rsidRDefault="00AB58F3" w:rsidP="00695A56">
      <w:pPr>
        <w:pStyle w:val="Heading2"/>
        <w:spacing w:before="200" w:after="0" w:line="276" w:lineRule="auto"/>
        <w:rPr>
          <w:rFonts w:ascii="Arial" w:hAnsi="Arial" w:cs="Arial"/>
          <w:color w:val="auto"/>
          <w:sz w:val="24"/>
          <w:szCs w:val="24"/>
        </w:rPr>
      </w:pPr>
      <w:bookmarkStart w:id="1" w:name="_Toc466034829"/>
      <w:r w:rsidRPr="00695A56">
        <w:rPr>
          <w:rFonts w:ascii="Arial" w:hAnsi="Arial" w:cs="Arial"/>
          <w:color w:val="auto"/>
          <w:sz w:val="24"/>
          <w:szCs w:val="24"/>
        </w:rPr>
        <w:t>BACKGROUND</w:t>
      </w:r>
      <w:bookmarkEnd w:id="1"/>
    </w:p>
    <w:p w:rsidR="00B23761" w:rsidRPr="003C715F" w:rsidRDefault="00B23761" w:rsidP="00DA4B74">
      <w:pPr>
        <w:pStyle w:val="ListParagraph"/>
        <w:jc w:val="both"/>
        <w:rPr>
          <w:sz w:val="22"/>
          <w:szCs w:val="22"/>
        </w:rPr>
      </w:pPr>
      <w:bookmarkStart w:id="2" w:name="_Ref456982409"/>
      <w:r w:rsidRPr="003C715F">
        <w:rPr>
          <w:sz w:val="22"/>
          <w:szCs w:val="22"/>
        </w:rPr>
        <w:t>Section 216(1</w:t>
      </w:r>
      <w:proofErr w:type="gramStart"/>
      <w:r w:rsidRPr="003C715F">
        <w:rPr>
          <w:sz w:val="22"/>
          <w:szCs w:val="22"/>
        </w:rPr>
        <w:t>)(</w:t>
      </w:r>
      <w:proofErr w:type="gramEnd"/>
      <w:r w:rsidRPr="003C715F">
        <w:rPr>
          <w:sz w:val="22"/>
          <w:szCs w:val="22"/>
        </w:rPr>
        <w:t>a) of the Constitution requires the National Treasury to introduce Generally Recognised Accounting Practice (GRAP).  To give effect to this provision, the Minister of Finance established the Accounting Standards Board (ASB) in terms of section 87(1) of the Public Finance Management Act, No 1 of 1999.  Section 122(3) of the Municipal Finance Management Act (MFMA) requires municipalities and municipal entities to prepare financial statement</w:t>
      </w:r>
      <w:r w:rsidR="00027AA0" w:rsidRPr="003C715F">
        <w:rPr>
          <w:sz w:val="22"/>
          <w:szCs w:val="22"/>
        </w:rPr>
        <w:t>s</w:t>
      </w:r>
      <w:r w:rsidRPr="003C715F">
        <w:rPr>
          <w:sz w:val="22"/>
          <w:szCs w:val="22"/>
        </w:rPr>
        <w:t xml:space="preserve"> in accordance with the Standards of GRAP, phased in.  </w:t>
      </w:r>
      <w:bookmarkEnd w:id="2"/>
    </w:p>
    <w:p w:rsidR="00B0734D" w:rsidRPr="003C715F" w:rsidRDefault="00B23761" w:rsidP="00DA4B74">
      <w:pPr>
        <w:pStyle w:val="ListParagraph"/>
        <w:jc w:val="both"/>
        <w:rPr>
          <w:sz w:val="22"/>
          <w:szCs w:val="22"/>
        </w:rPr>
      </w:pPr>
      <w:r w:rsidRPr="003C715F">
        <w:rPr>
          <w:sz w:val="22"/>
          <w:szCs w:val="22"/>
        </w:rPr>
        <w:t xml:space="preserve">The </w:t>
      </w:r>
      <w:r w:rsidR="00B0734D" w:rsidRPr="003C715F">
        <w:rPr>
          <w:sz w:val="22"/>
          <w:szCs w:val="22"/>
        </w:rPr>
        <w:t xml:space="preserve">Municipal Finance Management Act No 56 of 2003 (MFMA) has set the reform agenda in the financial management </w:t>
      </w:r>
      <w:r w:rsidR="00F14551" w:rsidRPr="003C715F">
        <w:rPr>
          <w:sz w:val="22"/>
          <w:szCs w:val="22"/>
        </w:rPr>
        <w:t xml:space="preserve">of </w:t>
      </w:r>
      <w:r w:rsidR="00B0734D" w:rsidRPr="003C715F">
        <w:rPr>
          <w:sz w:val="22"/>
          <w:szCs w:val="22"/>
        </w:rPr>
        <w:t>local government.  The broader reforms have been underpinned by the need for appropriate planning</w:t>
      </w:r>
      <w:r w:rsidR="007F142B" w:rsidRPr="003C715F">
        <w:rPr>
          <w:sz w:val="22"/>
          <w:szCs w:val="22"/>
        </w:rPr>
        <w:t>;</w:t>
      </w:r>
      <w:r w:rsidR="00B0734D" w:rsidRPr="003C715F">
        <w:rPr>
          <w:sz w:val="22"/>
          <w:szCs w:val="22"/>
        </w:rPr>
        <w:t xml:space="preserve"> quality budgeting</w:t>
      </w:r>
      <w:r w:rsidR="007F142B" w:rsidRPr="003C715F">
        <w:rPr>
          <w:sz w:val="22"/>
          <w:szCs w:val="22"/>
        </w:rPr>
        <w:t>;</w:t>
      </w:r>
      <w:r w:rsidR="00B0734D" w:rsidRPr="003C715F">
        <w:rPr>
          <w:sz w:val="22"/>
          <w:szCs w:val="22"/>
        </w:rPr>
        <w:t xml:space="preserve"> the execution and monitoring of plans and budgets</w:t>
      </w:r>
      <w:r w:rsidR="007F142B" w:rsidRPr="003C715F">
        <w:rPr>
          <w:sz w:val="22"/>
          <w:szCs w:val="22"/>
        </w:rPr>
        <w:t>;</w:t>
      </w:r>
      <w:r w:rsidR="00B0734D" w:rsidRPr="003C715F">
        <w:rPr>
          <w:sz w:val="22"/>
          <w:szCs w:val="22"/>
        </w:rPr>
        <w:t xml:space="preserve"> understandable reporting</w:t>
      </w:r>
      <w:r w:rsidR="007F142B" w:rsidRPr="003C715F">
        <w:rPr>
          <w:sz w:val="22"/>
          <w:szCs w:val="22"/>
        </w:rPr>
        <w:t>;</w:t>
      </w:r>
      <w:r w:rsidR="00B0734D" w:rsidRPr="003C715F">
        <w:rPr>
          <w:sz w:val="22"/>
          <w:szCs w:val="22"/>
        </w:rPr>
        <w:t xml:space="preserve"> and</w:t>
      </w:r>
      <w:r w:rsidR="007F142B" w:rsidRPr="003C715F">
        <w:rPr>
          <w:sz w:val="22"/>
          <w:szCs w:val="22"/>
        </w:rPr>
        <w:t>,</w:t>
      </w:r>
      <w:r w:rsidR="00B0734D" w:rsidRPr="003C715F">
        <w:rPr>
          <w:sz w:val="22"/>
          <w:szCs w:val="22"/>
        </w:rPr>
        <w:t xml:space="preserve"> information that will assist decision makers and the public to measure performance and service delivery.</w:t>
      </w:r>
    </w:p>
    <w:p w:rsidR="00410AF7" w:rsidRPr="003C715F" w:rsidRDefault="00E54D4D" w:rsidP="00DA4B74">
      <w:pPr>
        <w:pStyle w:val="ListParagraph"/>
        <w:jc w:val="both"/>
        <w:rPr>
          <w:sz w:val="22"/>
          <w:szCs w:val="22"/>
        </w:rPr>
      </w:pPr>
      <w:r w:rsidRPr="003C715F">
        <w:rPr>
          <w:sz w:val="22"/>
          <w:szCs w:val="22"/>
        </w:rPr>
        <w:t xml:space="preserve">National Treasury in association with other key stakeholders have led the development of accounting reforms since 1998.  These reforms have consistently been updated as the accounting standards evolved.  </w:t>
      </w:r>
    </w:p>
    <w:p w:rsidR="00B23761" w:rsidRPr="003C715F" w:rsidRDefault="00B23761" w:rsidP="00DA4B74">
      <w:pPr>
        <w:pStyle w:val="ListParagraph"/>
        <w:jc w:val="both"/>
        <w:rPr>
          <w:sz w:val="22"/>
          <w:szCs w:val="22"/>
        </w:rPr>
      </w:pPr>
      <w:r w:rsidRPr="003C715F">
        <w:rPr>
          <w:sz w:val="22"/>
          <w:szCs w:val="22"/>
        </w:rPr>
        <w:t xml:space="preserve">The then GAMAP standards were primarily based on SA GAAP as at 30 November 1997, which at that point in time was considered fair </w:t>
      </w:r>
      <w:r w:rsidR="00F14551" w:rsidRPr="003C715F">
        <w:rPr>
          <w:sz w:val="22"/>
          <w:szCs w:val="22"/>
        </w:rPr>
        <w:t>representation</w:t>
      </w:r>
      <w:r w:rsidRPr="003C715F">
        <w:rPr>
          <w:sz w:val="22"/>
          <w:szCs w:val="22"/>
        </w:rPr>
        <w:t xml:space="preserve">.  </w:t>
      </w:r>
    </w:p>
    <w:p w:rsidR="00B23761" w:rsidRPr="003C715F" w:rsidRDefault="00B23761" w:rsidP="00DA4B74">
      <w:pPr>
        <w:pStyle w:val="ListParagraph"/>
        <w:jc w:val="both"/>
        <w:rPr>
          <w:sz w:val="22"/>
          <w:szCs w:val="22"/>
        </w:rPr>
      </w:pPr>
      <w:r w:rsidRPr="003C715F">
        <w:rPr>
          <w:sz w:val="22"/>
          <w:szCs w:val="22"/>
        </w:rPr>
        <w:t>In August 2002, the ASB began the process of reviewing and approving Statement of Generally Accepted Municipal Accounting Practice</w:t>
      </w:r>
      <w:r w:rsidR="00E906BC" w:rsidRPr="003C715F">
        <w:rPr>
          <w:sz w:val="22"/>
          <w:szCs w:val="22"/>
        </w:rPr>
        <w:t xml:space="preserve"> (GAMAP)</w:t>
      </w:r>
      <w:r w:rsidRPr="003C715F">
        <w:rPr>
          <w:sz w:val="22"/>
          <w:szCs w:val="22"/>
        </w:rPr>
        <w:t xml:space="preserve"> and developing new Standards of GRAP.  GAMAP was considered as interim standards for municipalities and municipal entities until the national standards of GRAP </w:t>
      </w:r>
      <w:r w:rsidR="00AC75AF" w:rsidRPr="003C715F">
        <w:rPr>
          <w:sz w:val="22"/>
          <w:szCs w:val="22"/>
        </w:rPr>
        <w:t xml:space="preserve">had </w:t>
      </w:r>
      <w:r w:rsidRPr="003C715F">
        <w:rPr>
          <w:sz w:val="22"/>
          <w:szCs w:val="22"/>
        </w:rPr>
        <w:t xml:space="preserve">been developed and approved by the ASB.  </w:t>
      </w:r>
    </w:p>
    <w:p w:rsidR="00B23761" w:rsidRPr="003C715F" w:rsidRDefault="00B23761" w:rsidP="00DA4B74">
      <w:pPr>
        <w:pStyle w:val="ListParagraph"/>
        <w:jc w:val="both"/>
        <w:rPr>
          <w:sz w:val="22"/>
          <w:szCs w:val="22"/>
        </w:rPr>
      </w:pPr>
      <w:r w:rsidRPr="003C715F">
        <w:rPr>
          <w:sz w:val="22"/>
          <w:szCs w:val="22"/>
        </w:rPr>
        <w:t xml:space="preserve">The National Treasury conducted a survey of municipal finance management capacity during February and March 2004, after researching material from </w:t>
      </w:r>
      <w:proofErr w:type="spellStart"/>
      <w:r w:rsidRPr="003C715F">
        <w:rPr>
          <w:sz w:val="22"/>
          <w:szCs w:val="22"/>
        </w:rPr>
        <w:t>StatsSA</w:t>
      </w:r>
      <w:proofErr w:type="spellEnd"/>
      <w:r w:rsidR="00D35B7A" w:rsidRPr="003C715F">
        <w:rPr>
          <w:sz w:val="22"/>
          <w:szCs w:val="22"/>
        </w:rPr>
        <w:t>;</w:t>
      </w:r>
      <w:r w:rsidRPr="003C715F">
        <w:rPr>
          <w:sz w:val="22"/>
          <w:szCs w:val="22"/>
        </w:rPr>
        <w:t xml:space="preserve"> the Demarcation Board</w:t>
      </w:r>
      <w:r w:rsidR="00D35B7A" w:rsidRPr="003C715F">
        <w:rPr>
          <w:sz w:val="22"/>
          <w:szCs w:val="22"/>
        </w:rPr>
        <w:t>;</w:t>
      </w:r>
      <w:r w:rsidRPr="003C715F">
        <w:rPr>
          <w:sz w:val="22"/>
          <w:szCs w:val="22"/>
        </w:rPr>
        <w:t xml:space="preserve"> and</w:t>
      </w:r>
      <w:r w:rsidR="00D35B7A" w:rsidRPr="003C715F">
        <w:rPr>
          <w:sz w:val="22"/>
          <w:szCs w:val="22"/>
        </w:rPr>
        <w:t>,</w:t>
      </w:r>
      <w:r w:rsidRPr="003C715F">
        <w:rPr>
          <w:sz w:val="22"/>
          <w:szCs w:val="22"/>
        </w:rPr>
        <w:t xml:space="preserve"> the Department of Provincial and Local Government.  The survey was circulated to the then 284 municipalities.  This information was utilised to categorise municipalities into three </w:t>
      </w:r>
      <w:r w:rsidR="00CA69A9" w:rsidRPr="003C715F">
        <w:rPr>
          <w:sz w:val="22"/>
          <w:szCs w:val="22"/>
        </w:rPr>
        <w:t>category levels</w:t>
      </w:r>
      <w:r w:rsidRPr="003C715F">
        <w:rPr>
          <w:sz w:val="22"/>
          <w:szCs w:val="22"/>
        </w:rPr>
        <w:t xml:space="preserve"> namely:</w:t>
      </w:r>
    </w:p>
    <w:p w:rsidR="00B23761" w:rsidRPr="003C715F" w:rsidRDefault="00B23761" w:rsidP="00DA4B74">
      <w:pPr>
        <w:pStyle w:val="BulletLevelParagraph"/>
        <w:numPr>
          <w:ilvl w:val="0"/>
          <w:numId w:val="42"/>
        </w:numPr>
        <w:rPr>
          <w:sz w:val="22"/>
          <w:szCs w:val="22"/>
        </w:rPr>
      </w:pPr>
      <w:r w:rsidRPr="003C715F">
        <w:rPr>
          <w:sz w:val="22"/>
          <w:szCs w:val="22"/>
        </w:rPr>
        <w:t>High Capacity – relatively high scores</w:t>
      </w:r>
    </w:p>
    <w:p w:rsidR="00B23761" w:rsidRPr="003C715F" w:rsidRDefault="00B23761" w:rsidP="00DA4B74">
      <w:pPr>
        <w:pStyle w:val="BulletLevelParagraph"/>
        <w:numPr>
          <w:ilvl w:val="0"/>
          <w:numId w:val="42"/>
        </w:numPr>
        <w:rPr>
          <w:sz w:val="22"/>
          <w:szCs w:val="22"/>
        </w:rPr>
      </w:pPr>
      <w:r w:rsidRPr="003C715F">
        <w:rPr>
          <w:sz w:val="22"/>
          <w:szCs w:val="22"/>
        </w:rPr>
        <w:t>Medium Capacity – medium scores</w:t>
      </w:r>
    </w:p>
    <w:p w:rsidR="00B23761" w:rsidRPr="003C715F" w:rsidRDefault="00B23761" w:rsidP="00DA4B74">
      <w:pPr>
        <w:pStyle w:val="BulletLevelParagraph"/>
        <w:numPr>
          <w:ilvl w:val="0"/>
          <w:numId w:val="42"/>
        </w:numPr>
        <w:rPr>
          <w:sz w:val="22"/>
          <w:szCs w:val="22"/>
        </w:rPr>
      </w:pPr>
      <w:r w:rsidRPr="003C715F">
        <w:rPr>
          <w:sz w:val="22"/>
          <w:szCs w:val="22"/>
        </w:rPr>
        <w:t>Low Capacity – low scores.</w:t>
      </w:r>
    </w:p>
    <w:p w:rsidR="00B23761" w:rsidRPr="003C715F" w:rsidRDefault="00B23761" w:rsidP="00DA4B74">
      <w:pPr>
        <w:pStyle w:val="ListParagraph"/>
        <w:jc w:val="both"/>
        <w:rPr>
          <w:sz w:val="22"/>
          <w:szCs w:val="22"/>
        </w:rPr>
      </w:pPr>
      <w:r w:rsidRPr="003C715F">
        <w:rPr>
          <w:sz w:val="22"/>
          <w:szCs w:val="22"/>
        </w:rPr>
        <w:t xml:space="preserve">According to the above capacity categories the implementation date of the standards </w:t>
      </w:r>
      <w:r w:rsidR="00F3199B" w:rsidRPr="003C715F">
        <w:rPr>
          <w:sz w:val="22"/>
          <w:szCs w:val="22"/>
        </w:rPr>
        <w:t>was</w:t>
      </w:r>
      <w:r w:rsidRPr="003C715F">
        <w:rPr>
          <w:sz w:val="22"/>
          <w:szCs w:val="22"/>
        </w:rPr>
        <w:t xml:space="preserve"> respectively set as 1 July 2004, 1 July 2005 and 1 July 2006.</w:t>
      </w:r>
    </w:p>
    <w:p w:rsidR="00B23761" w:rsidRPr="003C715F" w:rsidRDefault="00B23761" w:rsidP="00DA4B74">
      <w:pPr>
        <w:pStyle w:val="ListParagraph"/>
        <w:jc w:val="both"/>
        <w:rPr>
          <w:sz w:val="22"/>
          <w:szCs w:val="22"/>
        </w:rPr>
      </w:pPr>
      <w:r w:rsidRPr="003C715F">
        <w:rPr>
          <w:sz w:val="22"/>
          <w:szCs w:val="22"/>
        </w:rPr>
        <w:t xml:space="preserve">The conversion from the fund accounting framework or the IMFO model applied by municipalities, to the “capital accounting model” required a number of implementation processes, </w:t>
      </w:r>
      <w:r w:rsidR="00DC0460" w:rsidRPr="003C715F">
        <w:rPr>
          <w:sz w:val="22"/>
          <w:szCs w:val="22"/>
        </w:rPr>
        <w:t>i.e</w:t>
      </w:r>
      <w:r w:rsidRPr="003C715F">
        <w:rPr>
          <w:sz w:val="22"/>
          <w:szCs w:val="22"/>
        </w:rPr>
        <w:t>. financing of items of property, plant and equipment</w:t>
      </w:r>
      <w:r w:rsidR="002A5FDC" w:rsidRPr="003C715F">
        <w:rPr>
          <w:sz w:val="22"/>
          <w:szCs w:val="22"/>
        </w:rPr>
        <w:t>;</w:t>
      </w:r>
      <w:r w:rsidRPr="003C715F">
        <w:rPr>
          <w:sz w:val="22"/>
          <w:szCs w:val="22"/>
        </w:rPr>
        <w:t xml:space="preserve"> provisions</w:t>
      </w:r>
      <w:r w:rsidR="00B76F4D" w:rsidRPr="003C715F">
        <w:rPr>
          <w:sz w:val="22"/>
          <w:szCs w:val="22"/>
        </w:rPr>
        <w:t>;</w:t>
      </w:r>
      <w:r w:rsidRPr="003C715F">
        <w:rPr>
          <w:sz w:val="22"/>
          <w:szCs w:val="22"/>
        </w:rPr>
        <w:t xml:space="preserve"> and</w:t>
      </w:r>
      <w:r w:rsidR="00B76F4D" w:rsidRPr="003C715F">
        <w:rPr>
          <w:sz w:val="22"/>
          <w:szCs w:val="22"/>
        </w:rPr>
        <w:t>,</w:t>
      </w:r>
      <w:r w:rsidRPr="003C715F">
        <w:rPr>
          <w:sz w:val="22"/>
          <w:szCs w:val="22"/>
        </w:rPr>
        <w:t xml:space="preserve"> internal funds and reserves,</w:t>
      </w:r>
      <w:r w:rsidR="00C06963" w:rsidRPr="003C715F">
        <w:rPr>
          <w:sz w:val="22"/>
          <w:szCs w:val="22"/>
        </w:rPr>
        <w:t xml:space="preserve"> </w:t>
      </w:r>
      <w:r w:rsidRPr="003C715F">
        <w:rPr>
          <w:sz w:val="22"/>
          <w:szCs w:val="22"/>
        </w:rPr>
        <w:t>etc.</w:t>
      </w:r>
    </w:p>
    <w:p w:rsidR="00B23761" w:rsidRPr="003C715F" w:rsidRDefault="00B23761" w:rsidP="00DA4B74">
      <w:pPr>
        <w:pStyle w:val="ListParagraph"/>
        <w:jc w:val="both"/>
        <w:rPr>
          <w:sz w:val="22"/>
          <w:szCs w:val="22"/>
        </w:rPr>
      </w:pPr>
      <w:r w:rsidRPr="003C715F">
        <w:rPr>
          <w:sz w:val="22"/>
          <w:szCs w:val="22"/>
        </w:rPr>
        <w:t xml:space="preserve">The implementation was guided by the “National Treasury Guidelines on Implementation of Approved Standards of Generally Recognised Accounting Practice – June 2005”.  </w:t>
      </w:r>
    </w:p>
    <w:p w:rsidR="008F2D37" w:rsidRPr="003C715F" w:rsidRDefault="00970769" w:rsidP="00DA4B74">
      <w:pPr>
        <w:pStyle w:val="ListParagraph"/>
        <w:jc w:val="both"/>
        <w:rPr>
          <w:sz w:val="22"/>
          <w:szCs w:val="22"/>
        </w:rPr>
      </w:pPr>
      <w:r w:rsidRPr="003C715F">
        <w:rPr>
          <w:sz w:val="22"/>
          <w:szCs w:val="22"/>
        </w:rPr>
        <w:lastRenderedPageBreak/>
        <w:t>The evolutionary process initially adopted by National Treasury, explained in MFMA Circular 18 on Accounting Standards Implementation</w:t>
      </w:r>
      <w:r w:rsidR="008F2D37" w:rsidRPr="003C715F">
        <w:rPr>
          <w:sz w:val="22"/>
          <w:szCs w:val="22"/>
        </w:rPr>
        <w:t xml:space="preserve">, read with </w:t>
      </w:r>
      <w:r w:rsidRPr="003C715F">
        <w:rPr>
          <w:sz w:val="22"/>
          <w:szCs w:val="22"/>
        </w:rPr>
        <w:t>further guidance</w:t>
      </w:r>
      <w:r w:rsidR="00913A40" w:rsidRPr="003C715F">
        <w:rPr>
          <w:sz w:val="22"/>
          <w:szCs w:val="22"/>
        </w:rPr>
        <w:t>,</w:t>
      </w:r>
      <w:r w:rsidRPr="003C715F">
        <w:rPr>
          <w:sz w:val="22"/>
          <w:szCs w:val="22"/>
        </w:rPr>
        <w:t xml:space="preserve"> </w:t>
      </w:r>
      <w:r w:rsidR="008F2D37" w:rsidRPr="003C715F">
        <w:rPr>
          <w:sz w:val="22"/>
          <w:szCs w:val="22"/>
        </w:rPr>
        <w:t>dealt with in the paragraphs to follow</w:t>
      </w:r>
      <w:r w:rsidR="00913A40" w:rsidRPr="003C715F">
        <w:rPr>
          <w:sz w:val="22"/>
          <w:szCs w:val="22"/>
        </w:rPr>
        <w:t>,</w:t>
      </w:r>
      <w:r w:rsidR="008F2D37" w:rsidRPr="003C715F">
        <w:rPr>
          <w:sz w:val="22"/>
          <w:szCs w:val="22"/>
        </w:rPr>
        <w:t xml:space="preserve"> sets the scene for the problem statement defined</w:t>
      </w:r>
      <w:r w:rsidRPr="003C715F">
        <w:rPr>
          <w:sz w:val="22"/>
          <w:szCs w:val="22"/>
        </w:rPr>
        <w:t xml:space="preserve"> in this Position Paper</w:t>
      </w:r>
      <w:r w:rsidR="008F2D37" w:rsidRPr="003C715F">
        <w:rPr>
          <w:sz w:val="22"/>
          <w:szCs w:val="22"/>
        </w:rPr>
        <w:t xml:space="preserve">.  </w:t>
      </w:r>
    </w:p>
    <w:p w:rsidR="0049185B" w:rsidRPr="00695A56" w:rsidRDefault="0049185B" w:rsidP="00695A56">
      <w:pPr>
        <w:pStyle w:val="Heading3"/>
        <w:rPr>
          <w:rFonts w:ascii="Arial" w:hAnsi="Arial" w:cs="Arial"/>
          <w:color w:val="auto"/>
          <w:sz w:val="20"/>
          <w:szCs w:val="20"/>
        </w:rPr>
      </w:pPr>
      <w:bookmarkStart w:id="3" w:name="_Toc466034830"/>
      <w:r w:rsidRPr="00695A56">
        <w:rPr>
          <w:rFonts w:ascii="Arial" w:hAnsi="Arial" w:cs="Arial"/>
          <w:color w:val="auto"/>
          <w:sz w:val="20"/>
          <w:szCs w:val="20"/>
        </w:rPr>
        <w:t xml:space="preserve">Guideline for the Implementation of Accounting Standards of Generally Recognised Accounting Practice </w:t>
      </w:r>
      <w:r w:rsidR="00485D13" w:rsidRPr="00695A56">
        <w:rPr>
          <w:rFonts w:ascii="Arial" w:hAnsi="Arial" w:cs="Arial"/>
          <w:color w:val="auto"/>
          <w:sz w:val="20"/>
          <w:szCs w:val="20"/>
        </w:rPr>
        <w:t>dated May 2004</w:t>
      </w:r>
      <w:bookmarkEnd w:id="3"/>
      <w:r w:rsidR="00485D13" w:rsidRPr="00695A56">
        <w:rPr>
          <w:rFonts w:ascii="Arial" w:hAnsi="Arial" w:cs="Arial"/>
          <w:color w:val="auto"/>
          <w:sz w:val="20"/>
          <w:szCs w:val="20"/>
        </w:rPr>
        <w:t xml:space="preserve"> </w:t>
      </w:r>
    </w:p>
    <w:p w:rsidR="00A64E0F" w:rsidRPr="003C715F" w:rsidRDefault="00A64E0F" w:rsidP="00DA4B74">
      <w:pPr>
        <w:pStyle w:val="ListParagraph"/>
        <w:jc w:val="both"/>
        <w:rPr>
          <w:sz w:val="22"/>
          <w:szCs w:val="22"/>
        </w:rPr>
      </w:pPr>
      <w:r w:rsidRPr="003C715F">
        <w:rPr>
          <w:sz w:val="22"/>
          <w:szCs w:val="22"/>
        </w:rPr>
        <w:t>This Guideline introduced the principles of the “new standards” to Local Government, preceding the issue of Municipal Finance Management Act No 56 of 2003 (MFMA) Circular No 18 on Accounting Standards Implementation dated 23 June 2005.  Discussed in more detail hereunder.</w:t>
      </w:r>
    </w:p>
    <w:p w:rsidR="00AD3321" w:rsidRPr="003C715F" w:rsidRDefault="00AD3321" w:rsidP="00DA4B74">
      <w:pPr>
        <w:pStyle w:val="ListParagraph"/>
        <w:jc w:val="both"/>
        <w:rPr>
          <w:sz w:val="22"/>
          <w:szCs w:val="22"/>
        </w:rPr>
      </w:pPr>
      <w:r w:rsidRPr="003C715F">
        <w:rPr>
          <w:sz w:val="22"/>
          <w:szCs w:val="22"/>
        </w:rPr>
        <w:fldChar w:fldCharType="begin"/>
      </w:r>
      <w:r w:rsidRPr="003C715F">
        <w:rPr>
          <w:sz w:val="22"/>
          <w:szCs w:val="22"/>
        </w:rPr>
        <w:instrText xml:space="preserve"> REF _Ref456974923 \h </w:instrText>
      </w:r>
      <w:r w:rsidR="00510A90">
        <w:rPr>
          <w:sz w:val="22"/>
          <w:szCs w:val="22"/>
        </w:rPr>
        <w:instrText xml:space="preserve"> \* MERGEFORMAT </w:instrText>
      </w:r>
      <w:r w:rsidRPr="003C715F">
        <w:rPr>
          <w:sz w:val="22"/>
          <w:szCs w:val="22"/>
        </w:rPr>
      </w:r>
      <w:r w:rsidRPr="003C715F">
        <w:rPr>
          <w:sz w:val="22"/>
          <w:szCs w:val="22"/>
        </w:rPr>
        <w:fldChar w:fldCharType="separate"/>
      </w:r>
      <w:r w:rsidR="00616BED" w:rsidRPr="003C715F">
        <w:rPr>
          <w:sz w:val="22"/>
          <w:szCs w:val="22"/>
        </w:rPr>
        <w:t>ANNEXURE B - MAY 2004 – GUIDELINES FOR THE IMPLEMENTATION OF ACCOUNTING STANDARDS OF GENERALLY RECOGNISED ACCOUNTING PRACTICE</w:t>
      </w:r>
      <w:r w:rsidRPr="003C715F">
        <w:rPr>
          <w:sz w:val="22"/>
          <w:szCs w:val="22"/>
        </w:rPr>
        <w:fldChar w:fldCharType="end"/>
      </w:r>
      <w:r w:rsidRPr="003C715F">
        <w:rPr>
          <w:sz w:val="22"/>
          <w:szCs w:val="22"/>
        </w:rPr>
        <w:t xml:space="preserve"> provides a summary specific to funds and reserves emanating from the implementation of the “new standards”.</w:t>
      </w:r>
    </w:p>
    <w:p w:rsidR="007D4164" w:rsidRPr="00695A56" w:rsidRDefault="00B0734D" w:rsidP="00695A56">
      <w:pPr>
        <w:pStyle w:val="Heading3"/>
        <w:rPr>
          <w:rFonts w:ascii="Arial" w:hAnsi="Arial" w:cs="Arial"/>
          <w:color w:val="auto"/>
          <w:sz w:val="20"/>
          <w:szCs w:val="20"/>
        </w:rPr>
      </w:pPr>
      <w:bookmarkStart w:id="4" w:name="_Toc466034831"/>
      <w:r w:rsidRPr="00695A56">
        <w:rPr>
          <w:rFonts w:ascii="Arial" w:hAnsi="Arial" w:cs="Arial"/>
          <w:color w:val="auto"/>
          <w:sz w:val="20"/>
          <w:szCs w:val="20"/>
        </w:rPr>
        <w:t>Municipal Finance Management Act No 56 of 2003 (MFMA) Circular No 18 on Accounting Standards Implementation</w:t>
      </w:r>
      <w:r w:rsidR="008756B3" w:rsidRPr="00695A56">
        <w:rPr>
          <w:rFonts w:ascii="Arial" w:hAnsi="Arial" w:cs="Arial"/>
          <w:color w:val="auto"/>
          <w:sz w:val="20"/>
          <w:szCs w:val="20"/>
        </w:rPr>
        <w:t xml:space="preserve"> dated 23 June 2005</w:t>
      </w:r>
      <w:bookmarkEnd w:id="4"/>
    </w:p>
    <w:p w:rsidR="00AD3321" w:rsidRPr="003C715F" w:rsidRDefault="00AD3321" w:rsidP="00DA4B74">
      <w:pPr>
        <w:pStyle w:val="ListParagraph"/>
        <w:jc w:val="both"/>
        <w:rPr>
          <w:sz w:val="22"/>
          <w:szCs w:val="22"/>
        </w:rPr>
      </w:pPr>
      <w:r w:rsidRPr="003C715F">
        <w:rPr>
          <w:sz w:val="22"/>
          <w:szCs w:val="22"/>
        </w:rPr>
        <w:t xml:space="preserve">This Circular contained the </w:t>
      </w:r>
      <w:r w:rsidR="004C6C12" w:rsidRPr="003C715F">
        <w:rPr>
          <w:sz w:val="22"/>
          <w:szCs w:val="22"/>
        </w:rPr>
        <w:t>National Treasury Guideli</w:t>
      </w:r>
      <w:r w:rsidRPr="003C715F">
        <w:rPr>
          <w:sz w:val="22"/>
          <w:szCs w:val="22"/>
        </w:rPr>
        <w:t>nes for the implementation of the Standards of GRAP derived from the GAMAP Standards.</w:t>
      </w:r>
    </w:p>
    <w:p w:rsidR="004C6C12" w:rsidRPr="003C715F" w:rsidRDefault="00AD3321" w:rsidP="00DA4B74">
      <w:pPr>
        <w:pStyle w:val="ListParagraph"/>
        <w:jc w:val="both"/>
        <w:rPr>
          <w:sz w:val="22"/>
          <w:szCs w:val="22"/>
        </w:rPr>
      </w:pPr>
      <w:r w:rsidRPr="003C715F">
        <w:rPr>
          <w:sz w:val="22"/>
          <w:szCs w:val="22"/>
        </w:rPr>
        <w:t xml:space="preserve">These standards amongst other requirements provide </w:t>
      </w:r>
      <w:r w:rsidR="004C6C12" w:rsidRPr="003C715F">
        <w:rPr>
          <w:sz w:val="22"/>
          <w:szCs w:val="22"/>
        </w:rPr>
        <w:t>guidance to municipalities on “converting the Statement of Financial Position at the beginning of the financial year from fund accounting to the new standards formats</w:t>
      </w:r>
      <w:r w:rsidRPr="003C715F">
        <w:rPr>
          <w:sz w:val="22"/>
          <w:szCs w:val="22"/>
        </w:rPr>
        <w:t>”</w:t>
      </w:r>
      <w:r w:rsidR="004C6C12" w:rsidRPr="003C715F">
        <w:rPr>
          <w:sz w:val="22"/>
          <w:szCs w:val="22"/>
        </w:rPr>
        <w:t xml:space="preserve">.  </w:t>
      </w:r>
    </w:p>
    <w:p w:rsidR="001D3244" w:rsidRPr="003C715F" w:rsidRDefault="001D3244" w:rsidP="00DA4B74">
      <w:pPr>
        <w:pStyle w:val="ListParagraph"/>
        <w:jc w:val="both"/>
        <w:rPr>
          <w:sz w:val="22"/>
          <w:szCs w:val="22"/>
        </w:rPr>
      </w:pPr>
      <w:r w:rsidRPr="003C715F">
        <w:rPr>
          <w:sz w:val="22"/>
          <w:szCs w:val="22"/>
        </w:rPr>
        <w:t>Provided in th</w:t>
      </w:r>
      <w:r w:rsidR="00796AD0" w:rsidRPr="003C715F">
        <w:rPr>
          <w:sz w:val="22"/>
          <w:szCs w:val="22"/>
        </w:rPr>
        <w:t xml:space="preserve">e above guideline </w:t>
      </w:r>
      <w:r w:rsidRPr="003C715F">
        <w:rPr>
          <w:sz w:val="22"/>
          <w:szCs w:val="22"/>
        </w:rPr>
        <w:t>the following</w:t>
      </w:r>
      <w:r w:rsidR="00154904" w:rsidRPr="003C715F">
        <w:rPr>
          <w:sz w:val="22"/>
          <w:szCs w:val="22"/>
        </w:rPr>
        <w:t xml:space="preserve">: </w:t>
      </w:r>
      <w:r w:rsidR="00796AD0" w:rsidRPr="003C715F">
        <w:rPr>
          <w:sz w:val="22"/>
          <w:szCs w:val="22"/>
        </w:rPr>
        <w:t>“Since fund accounting in terms of GRAP/GAMAP/GAAP, internal funds and reserves should form part of Accumulated Surplus and should not be disclosed on the face of the Statement of Changes in Net Asset.  Municipalities can however disclose in a not</w:t>
      </w:r>
      <w:r w:rsidR="00C4286C" w:rsidRPr="003C715F">
        <w:rPr>
          <w:sz w:val="22"/>
          <w:szCs w:val="22"/>
        </w:rPr>
        <w:t>e</w:t>
      </w:r>
      <w:r w:rsidR="00796AD0" w:rsidRPr="003C715F">
        <w:rPr>
          <w:sz w:val="22"/>
          <w:szCs w:val="22"/>
        </w:rPr>
        <w:t xml:space="preserve"> to the financial statements the internal funds and reserves that are ring-fenced within the accumulated surplus</w:t>
      </w:r>
      <w:r w:rsidRPr="003C715F">
        <w:rPr>
          <w:sz w:val="22"/>
          <w:szCs w:val="22"/>
        </w:rPr>
        <w:t>”</w:t>
      </w:r>
      <w:r w:rsidR="00796AD0" w:rsidRPr="003C715F">
        <w:rPr>
          <w:sz w:val="22"/>
          <w:szCs w:val="22"/>
        </w:rPr>
        <w:t xml:space="preserve">.  </w:t>
      </w:r>
    </w:p>
    <w:p w:rsidR="00DA611B" w:rsidRPr="003C715F" w:rsidRDefault="00DA611B" w:rsidP="00DA4B74">
      <w:pPr>
        <w:pStyle w:val="ListParagraph"/>
        <w:jc w:val="both"/>
        <w:rPr>
          <w:sz w:val="22"/>
          <w:szCs w:val="22"/>
        </w:rPr>
      </w:pPr>
      <w:r w:rsidRPr="003C715F">
        <w:rPr>
          <w:sz w:val="22"/>
          <w:szCs w:val="22"/>
        </w:rPr>
        <w:t>Annexure B provide a detail</w:t>
      </w:r>
      <w:r w:rsidR="00AC1E22" w:rsidRPr="003C715F">
        <w:rPr>
          <w:sz w:val="22"/>
          <w:szCs w:val="22"/>
        </w:rPr>
        <w:t>ed</w:t>
      </w:r>
      <w:r w:rsidRPr="003C715F">
        <w:rPr>
          <w:sz w:val="22"/>
          <w:szCs w:val="22"/>
        </w:rPr>
        <w:t xml:space="preserve"> discussion of the unbundling of internal reserves and funds as discussed in the initial guidelines released by National Treasury in May 2004.  Chapter 5 of the June 2005 Guideline replaces the concept introduced in the earlier version of the “Asset Finance Reserve” with the “Capitalisati</w:t>
      </w:r>
      <w:r w:rsidR="00E93107" w:rsidRPr="003C715F">
        <w:rPr>
          <w:sz w:val="22"/>
          <w:szCs w:val="22"/>
        </w:rPr>
        <w:t xml:space="preserve">on Reserve”.  Refer to </w:t>
      </w:r>
      <w:r w:rsidR="00E93107" w:rsidRPr="003C715F">
        <w:rPr>
          <w:sz w:val="22"/>
          <w:szCs w:val="22"/>
        </w:rPr>
        <w:fldChar w:fldCharType="begin"/>
      </w:r>
      <w:r w:rsidR="00E93107" w:rsidRPr="003C715F">
        <w:rPr>
          <w:sz w:val="22"/>
          <w:szCs w:val="22"/>
        </w:rPr>
        <w:instrText xml:space="preserve"> REF _Ref456881129 \h </w:instrText>
      </w:r>
      <w:r w:rsidR="00510A90">
        <w:rPr>
          <w:sz w:val="22"/>
          <w:szCs w:val="22"/>
        </w:rPr>
        <w:instrText xml:space="preserve"> \* MERGEFORMAT </w:instrText>
      </w:r>
      <w:r w:rsidR="00E93107" w:rsidRPr="003C715F">
        <w:rPr>
          <w:sz w:val="22"/>
          <w:szCs w:val="22"/>
        </w:rPr>
      </w:r>
      <w:r w:rsidR="00E93107" w:rsidRPr="003C715F">
        <w:rPr>
          <w:sz w:val="22"/>
          <w:szCs w:val="22"/>
        </w:rPr>
        <w:fldChar w:fldCharType="separate"/>
      </w:r>
      <w:r w:rsidR="00616BED" w:rsidRPr="003C715F">
        <w:rPr>
          <w:sz w:val="22"/>
          <w:szCs w:val="22"/>
        </w:rPr>
        <w:t>ANNEXURE C – GUIDELINES FOR THE IMPLEMENTATION OF ACCOUNTING STANDARDS OF GENERALLY RECOGNISED ACCOUNTING PRACTICE ISSUED WITH MFMA CIRCULAR 18</w:t>
      </w:r>
      <w:r w:rsidR="00E93107" w:rsidRPr="003C715F">
        <w:rPr>
          <w:sz w:val="22"/>
          <w:szCs w:val="22"/>
        </w:rPr>
        <w:fldChar w:fldCharType="end"/>
      </w:r>
      <w:r w:rsidR="00E93107" w:rsidRPr="003C715F">
        <w:rPr>
          <w:sz w:val="22"/>
          <w:szCs w:val="22"/>
        </w:rPr>
        <w:t>.</w:t>
      </w:r>
    </w:p>
    <w:p w:rsidR="00E93107" w:rsidRPr="003C715F" w:rsidRDefault="00E93107" w:rsidP="00DA4B74">
      <w:pPr>
        <w:pStyle w:val="ListParagraph"/>
        <w:jc w:val="both"/>
        <w:rPr>
          <w:sz w:val="22"/>
          <w:szCs w:val="22"/>
        </w:rPr>
      </w:pPr>
      <w:r w:rsidRPr="003C715F">
        <w:rPr>
          <w:sz w:val="22"/>
          <w:szCs w:val="22"/>
        </w:rPr>
        <w:t xml:space="preserve">At this stage the following “Fund and Reserve Accounts” had been introduced as summarised </w:t>
      </w:r>
      <w:r w:rsidR="00624F24" w:rsidRPr="003C715F">
        <w:rPr>
          <w:sz w:val="22"/>
          <w:szCs w:val="22"/>
        </w:rPr>
        <w:t xml:space="preserve">within </w:t>
      </w:r>
      <w:r w:rsidRPr="003C715F">
        <w:rPr>
          <w:sz w:val="22"/>
          <w:szCs w:val="22"/>
        </w:rPr>
        <w:t>Annexure</w:t>
      </w:r>
      <w:r w:rsidR="006D6CC8" w:rsidRPr="003C715F">
        <w:rPr>
          <w:sz w:val="22"/>
          <w:szCs w:val="22"/>
        </w:rPr>
        <w:t>s</w:t>
      </w:r>
      <w:r w:rsidRPr="003C715F">
        <w:rPr>
          <w:sz w:val="22"/>
          <w:szCs w:val="22"/>
        </w:rPr>
        <w:t xml:space="preserve"> B and C:</w:t>
      </w:r>
    </w:p>
    <w:p w:rsidR="00E93107" w:rsidRPr="003C715F" w:rsidRDefault="00A840B8" w:rsidP="00DA4B74">
      <w:pPr>
        <w:pStyle w:val="BulletLevelParagraph"/>
        <w:rPr>
          <w:sz w:val="22"/>
          <w:szCs w:val="22"/>
        </w:rPr>
      </w:pPr>
      <w:r w:rsidRPr="003C715F">
        <w:rPr>
          <w:sz w:val="22"/>
          <w:szCs w:val="22"/>
        </w:rPr>
        <w:t>Housing and Townships Development Funding</w:t>
      </w:r>
    </w:p>
    <w:p w:rsidR="00A840B8" w:rsidRPr="003C715F" w:rsidRDefault="00A840B8" w:rsidP="00DA4B74">
      <w:pPr>
        <w:pStyle w:val="BulletLevelParagraph"/>
        <w:rPr>
          <w:sz w:val="22"/>
          <w:szCs w:val="22"/>
        </w:rPr>
      </w:pPr>
      <w:r w:rsidRPr="003C715F">
        <w:rPr>
          <w:sz w:val="22"/>
          <w:szCs w:val="22"/>
        </w:rPr>
        <w:t xml:space="preserve">Asset Finance Reserve (renamed to </w:t>
      </w:r>
      <w:r w:rsidR="000424EF" w:rsidRPr="003C715F">
        <w:rPr>
          <w:sz w:val="22"/>
          <w:szCs w:val="22"/>
        </w:rPr>
        <w:t>Capital Replacement Reserve)</w:t>
      </w:r>
    </w:p>
    <w:p w:rsidR="00A840B8" w:rsidRPr="003C715F" w:rsidRDefault="00A840B8" w:rsidP="00DA4B74">
      <w:pPr>
        <w:pStyle w:val="BulletLevelParagraph"/>
        <w:rPr>
          <w:sz w:val="22"/>
          <w:szCs w:val="22"/>
        </w:rPr>
      </w:pPr>
      <w:r w:rsidRPr="003C715F">
        <w:rPr>
          <w:sz w:val="22"/>
          <w:szCs w:val="22"/>
        </w:rPr>
        <w:t>Future Depreciation Reserves</w:t>
      </w:r>
    </w:p>
    <w:p w:rsidR="00A840B8" w:rsidRPr="003C715F" w:rsidRDefault="00A840B8" w:rsidP="00DA4B74">
      <w:pPr>
        <w:pStyle w:val="BulletLevelParagraph"/>
        <w:rPr>
          <w:sz w:val="22"/>
          <w:szCs w:val="22"/>
        </w:rPr>
      </w:pPr>
      <w:r w:rsidRPr="003C715F">
        <w:rPr>
          <w:sz w:val="22"/>
          <w:szCs w:val="22"/>
        </w:rPr>
        <w:t>Self-insurance Reserve</w:t>
      </w:r>
    </w:p>
    <w:p w:rsidR="00A840B8" w:rsidRPr="003C715F" w:rsidRDefault="00A840B8" w:rsidP="00DA4B74">
      <w:pPr>
        <w:pStyle w:val="BulletLevelParagraph"/>
        <w:rPr>
          <w:sz w:val="22"/>
          <w:szCs w:val="22"/>
        </w:rPr>
      </w:pPr>
      <w:r w:rsidRPr="003C715F">
        <w:rPr>
          <w:sz w:val="22"/>
          <w:szCs w:val="22"/>
        </w:rPr>
        <w:t>Liabilities Trust Fund</w:t>
      </w:r>
    </w:p>
    <w:p w:rsidR="000424EF" w:rsidRPr="003C715F" w:rsidRDefault="000424EF" w:rsidP="00DA4B74">
      <w:pPr>
        <w:pStyle w:val="BulletLevelParagraph"/>
        <w:rPr>
          <w:sz w:val="22"/>
          <w:szCs w:val="22"/>
        </w:rPr>
      </w:pPr>
      <w:r w:rsidRPr="003C715F">
        <w:rPr>
          <w:sz w:val="22"/>
          <w:szCs w:val="22"/>
        </w:rPr>
        <w:lastRenderedPageBreak/>
        <w:t>Loan Redemptions Fund (renamed to Consolidated Loans Fund)</w:t>
      </w:r>
    </w:p>
    <w:p w:rsidR="000424EF" w:rsidRPr="003C715F" w:rsidRDefault="000424EF" w:rsidP="00DA4B74">
      <w:pPr>
        <w:pStyle w:val="BulletLevelParagraph"/>
        <w:rPr>
          <w:sz w:val="22"/>
          <w:szCs w:val="22"/>
        </w:rPr>
      </w:pPr>
      <w:r w:rsidRPr="003C715F">
        <w:rPr>
          <w:sz w:val="22"/>
          <w:szCs w:val="22"/>
        </w:rPr>
        <w:t>Capitalisation Reserve</w:t>
      </w:r>
    </w:p>
    <w:p w:rsidR="000424EF" w:rsidRPr="003C715F" w:rsidRDefault="000424EF" w:rsidP="00DA4B74">
      <w:pPr>
        <w:pStyle w:val="BulletLevelParagraph"/>
        <w:rPr>
          <w:sz w:val="22"/>
          <w:szCs w:val="22"/>
        </w:rPr>
      </w:pPr>
      <w:r w:rsidRPr="003C715F">
        <w:rPr>
          <w:sz w:val="22"/>
          <w:szCs w:val="22"/>
        </w:rPr>
        <w:t>External Financing Fund</w:t>
      </w:r>
    </w:p>
    <w:p w:rsidR="00AD3321" w:rsidRPr="00695A56" w:rsidRDefault="00AD3321" w:rsidP="00695A56">
      <w:pPr>
        <w:pStyle w:val="Heading3"/>
        <w:rPr>
          <w:rFonts w:ascii="Arial" w:hAnsi="Arial" w:cs="Arial"/>
          <w:color w:val="auto"/>
          <w:sz w:val="20"/>
          <w:szCs w:val="20"/>
        </w:rPr>
      </w:pPr>
      <w:bookmarkStart w:id="5" w:name="_Toc466034832"/>
      <w:r w:rsidRPr="00695A56">
        <w:rPr>
          <w:rFonts w:ascii="Arial" w:hAnsi="Arial" w:cs="Arial"/>
          <w:color w:val="auto"/>
          <w:sz w:val="20"/>
          <w:szCs w:val="20"/>
        </w:rPr>
        <w:t>The GAP</w:t>
      </w:r>
      <w:r w:rsidRPr="00695A56">
        <w:rPr>
          <w:rFonts w:ascii="Arial" w:hAnsi="Arial" w:cs="Arial"/>
          <w:color w:val="auto"/>
          <w:sz w:val="20"/>
          <w:szCs w:val="20"/>
        </w:rPr>
        <w:footnoteReference w:id="2"/>
      </w:r>
      <w:r w:rsidRPr="00695A56">
        <w:rPr>
          <w:rFonts w:ascii="Arial" w:hAnsi="Arial" w:cs="Arial"/>
          <w:color w:val="auto"/>
          <w:sz w:val="20"/>
          <w:szCs w:val="20"/>
        </w:rPr>
        <w:t xml:space="preserve"> Implementation Guide for Municipalities issued by National Treasury in September 2008</w:t>
      </w:r>
      <w:bookmarkEnd w:id="5"/>
    </w:p>
    <w:p w:rsidR="000424EF" w:rsidRPr="003C715F" w:rsidRDefault="00206FF1" w:rsidP="00DA4B74">
      <w:pPr>
        <w:pStyle w:val="ListParagraph"/>
        <w:jc w:val="both"/>
        <w:rPr>
          <w:sz w:val="22"/>
          <w:szCs w:val="22"/>
        </w:rPr>
      </w:pPr>
      <w:r w:rsidRPr="003C715F">
        <w:rPr>
          <w:sz w:val="22"/>
          <w:szCs w:val="22"/>
        </w:rPr>
        <w:t>This guideline clarified to municipalities that</w:t>
      </w:r>
      <w:r w:rsidR="00AA5FBB" w:rsidRPr="003C715F">
        <w:rPr>
          <w:sz w:val="22"/>
          <w:szCs w:val="22"/>
        </w:rPr>
        <w:t xml:space="preserve">, since fund accounting is not allowed in terms of GRAP/GAMAP/GAAP, internal funds and reserves should form part of accumulated surplus and should not be disclosed on the face of the statement of changes in net asset.  Municipalities can however disclose in a note to the financial statements the internal funds and reserves that are ring-fenced within the accumulated surplus.  </w:t>
      </w:r>
    </w:p>
    <w:p w:rsidR="00796AD0" w:rsidRPr="003C715F" w:rsidRDefault="00154904" w:rsidP="00DA4B74">
      <w:pPr>
        <w:pStyle w:val="ListParagraph"/>
        <w:jc w:val="both"/>
        <w:rPr>
          <w:sz w:val="22"/>
          <w:szCs w:val="22"/>
        </w:rPr>
      </w:pPr>
      <w:r w:rsidRPr="003C715F">
        <w:rPr>
          <w:sz w:val="22"/>
          <w:szCs w:val="22"/>
        </w:rPr>
        <w:t>In the municipal environment, the following internal funds and reserves were established in the past:</w:t>
      </w:r>
    </w:p>
    <w:p w:rsidR="00154904" w:rsidRPr="003C715F" w:rsidRDefault="00154904" w:rsidP="00DA4B74">
      <w:pPr>
        <w:pStyle w:val="BulletLevelParagraph"/>
        <w:rPr>
          <w:sz w:val="22"/>
          <w:szCs w:val="22"/>
        </w:rPr>
      </w:pPr>
      <w:r w:rsidRPr="003C715F">
        <w:rPr>
          <w:sz w:val="22"/>
          <w:szCs w:val="22"/>
        </w:rPr>
        <w:t>Capital Replacement Reserve (CRR)</w:t>
      </w:r>
    </w:p>
    <w:p w:rsidR="00154904" w:rsidRPr="003C715F" w:rsidRDefault="00986CD3" w:rsidP="00DA4B74">
      <w:pPr>
        <w:pStyle w:val="BulletLevelParagraph"/>
        <w:rPr>
          <w:sz w:val="22"/>
          <w:szCs w:val="22"/>
        </w:rPr>
      </w:pPr>
      <w:r w:rsidRPr="003C715F">
        <w:rPr>
          <w:sz w:val="22"/>
          <w:szCs w:val="22"/>
        </w:rPr>
        <w:t>Self-Insurance</w:t>
      </w:r>
      <w:r w:rsidR="00154904" w:rsidRPr="003C715F">
        <w:rPr>
          <w:sz w:val="22"/>
          <w:szCs w:val="22"/>
        </w:rPr>
        <w:t xml:space="preserve"> Reserve (SIR)</w:t>
      </w:r>
    </w:p>
    <w:p w:rsidR="00154904" w:rsidRPr="003C715F" w:rsidRDefault="00154904" w:rsidP="00DA4B74">
      <w:pPr>
        <w:pStyle w:val="BulletLevelParagraph"/>
        <w:rPr>
          <w:sz w:val="22"/>
          <w:szCs w:val="22"/>
        </w:rPr>
      </w:pPr>
      <w:r w:rsidRPr="003C715F">
        <w:rPr>
          <w:sz w:val="22"/>
          <w:szCs w:val="22"/>
        </w:rPr>
        <w:t>Capitalisation Reserve (CR)</w:t>
      </w:r>
    </w:p>
    <w:p w:rsidR="00154904" w:rsidRPr="003C715F" w:rsidRDefault="00154904" w:rsidP="00DA4B74">
      <w:pPr>
        <w:pStyle w:val="BulletLevelParagraph"/>
        <w:rPr>
          <w:sz w:val="22"/>
          <w:szCs w:val="22"/>
        </w:rPr>
      </w:pPr>
      <w:r w:rsidRPr="003C715F">
        <w:rPr>
          <w:sz w:val="22"/>
          <w:szCs w:val="22"/>
        </w:rPr>
        <w:t>Reserve established for Compensation for Occupational Injuries and Diseases (COID Reserve)</w:t>
      </w:r>
    </w:p>
    <w:p w:rsidR="00AA5FBB" w:rsidRPr="003C715F" w:rsidRDefault="00AA5FBB" w:rsidP="00DA4B74">
      <w:pPr>
        <w:pStyle w:val="BulletLevelParagraph"/>
        <w:rPr>
          <w:sz w:val="22"/>
          <w:szCs w:val="22"/>
        </w:rPr>
      </w:pPr>
      <w:r w:rsidRPr="003C715F">
        <w:rPr>
          <w:sz w:val="22"/>
          <w:szCs w:val="22"/>
        </w:rPr>
        <w:t>Government Grant Reserve (GGR)</w:t>
      </w:r>
    </w:p>
    <w:p w:rsidR="00AA5FBB" w:rsidRPr="003C715F" w:rsidRDefault="00AA5FBB" w:rsidP="00DA4B74">
      <w:pPr>
        <w:pStyle w:val="BulletLevelParagraph"/>
        <w:rPr>
          <w:sz w:val="22"/>
          <w:szCs w:val="22"/>
        </w:rPr>
      </w:pPr>
      <w:r w:rsidRPr="003C715F">
        <w:rPr>
          <w:sz w:val="22"/>
          <w:szCs w:val="22"/>
        </w:rPr>
        <w:t>Donations and Public Contributions Reserve</w:t>
      </w:r>
    </w:p>
    <w:p w:rsidR="00AA5FBB" w:rsidRPr="003C715F" w:rsidRDefault="00AA5FBB" w:rsidP="00DA4B74">
      <w:pPr>
        <w:pStyle w:val="BulletLevelParagraph"/>
        <w:rPr>
          <w:sz w:val="22"/>
          <w:szCs w:val="22"/>
        </w:rPr>
      </w:pPr>
      <w:r w:rsidRPr="003C715F">
        <w:rPr>
          <w:sz w:val="22"/>
          <w:szCs w:val="22"/>
        </w:rPr>
        <w:t>Housing Development Fund (HDF)</w:t>
      </w:r>
    </w:p>
    <w:p w:rsidR="001205FA" w:rsidRPr="00695A56" w:rsidRDefault="001205FA" w:rsidP="00695A56">
      <w:pPr>
        <w:pStyle w:val="Heading1"/>
        <w:rPr>
          <w:rFonts w:ascii="Arial" w:hAnsi="Arial" w:cs="Arial"/>
          <w:color w:val="auto"/>
          <w:sz w:val="24"/>
          <w:szCs w:val="24"/>
        </w:rPr>
      </w:pPr>
      <w:bookmarkStart w:id="6" w:name="_Toc466034833"/>
      <w:r w:rsidRPr="00695A56">
        <w:rPr>
          <w:rFonts w:ascii="Arial" w:hAnsi="Arial" w:cs="Arial"/>
          <w:color w:val="auto"/>
          <w:sz w:val="24"/>
          <w:szCs w:val="24"/>
        </w:rPr>
        <w:t>THE IMPACT OF THE STANDARDS IMPLEM</w:t>
      </w:r>
      <w:r w:rsidR="00695A56" w:rsidRPr="00695A56">
        <w:rPr>
          <w:rFonts w:ascii="Arial" w:hAnsi="Arial" w:cs="Arial"/>
          <w:color w:val="auto"/>
          <w:sz w:val="24"/>
          <w:szCs w:val="24"/>
        </w:rPr>
        <w:t>EN</w:t>
      </w:r>
      <w:r w:rsidRPr="00695A56">
        <w:rPr>
          <w:rFonts w:ascii="Arial" w:hAnsi="Arial" w:cs="Arial"/>
          <w:color w:val="auto"/>
          <w:sz w:val="24"/>
          <w:szCs w:val="24"/>
        </w:rPr>
        <w:t>TATION PROCESS ON UNBUNDLING FUND</w:t>
      </w:r>
      <w:r w:rsidR="00A60E59" w:rsidRPr="00695A56">
        <w:rPr>
          <w:rFonts w:ascii="Arial" w:hAnsi="Arial" w:cs="Arial"/>
          <w:color w:val="auto"/>
          <w:sz w:val="24"/>
          <w:szCs w:val="24"/>
        </w:rPr>
        <w:t>S</w:t>
      </w:r>
      <w:r w:rsidR="003C715F" w:rsidRPr="00695A56">
        <w:rPr>
          <w:rFonts w:ascii="Arial" w:hAnsi="Arial" w:cs="Arial"/>
          <w:color w:val="auto"/>
          <w:sz w:val="24"/>
          <w:szCs w:val="24"/>
        </w:rPr>
        <w:t xml:space="preserve"> </w:t>
      </w:r>
      <w:r w:rsidRPr="00695A56">
        <w:rPr>
          <w:rFonts w:ascii="Arial" w:hAnsi="Arial" w:cs="Arial"/>
          <w:color w:val="auto"/>
          <w:sz w:val="24"/>
          <w:szCs w:val="24"/>
        </w:rPr>
        <w:t>AND RESERVES ACCOUNTS UTILISED UNDER THE FUND ACCOUNTING MODEL</w:t>
      </w:r>
      <w:bookmarkEnd w:id="6"/>
    </w:p>
    <w:p w:rsidR="00D54A39" w:rsidRPr="00695A56" w:rsidRDefault="00796AD0" w:rsidP="00695A56">
      <w:pPr>
        <w:pStyle w:val="Heading2"/>
        <w:spacing w:before="200" w:after="0" w:line="276" w:lineRule="auto"/>
        <w:rPr>
          <w:rFonts w:ascii="Arial" w:hAnsi="Arial" w:cs="Arial"/>
          <w:color w:val="auto"/>
          <w:sz w:val="24"/>
          <w:szCs w:val="24"/>
        </w:rPr>
      </w:pPr>
      <w:bookmarkStart w:id="7" w:name="_Toc466034834"/>
      <w:r w:rsidRPr="00695A56">
        <w:rPr>
          <w:rFonts w:ascii="Arial" w:hAnsi="Arial" w:cs="Arial"/>
          <w:color w:val="auto"/>
          <w:sz w:val="24"/>
          <w:szCs w:val="24"/>
        </w:rPr>
        <w:t>THE PROBLEM STATEMENT</w:t>
      </w:r>
      <w:bookmarkEnd w:id="7"/>
    </w:p>
    <w:p w:rsidR="5AD43551" w:rsidRPr="003C715F" w:rsidRDefault="5AD43551" w:rsidP="00DA4B74">
      <w:pPr>
        <w:pStyle w:val="ListParagraph"/>
        <w:jc w:val="both"/>
        <w:rPr>
          <w:sz w:val="22"/>
          <w:szCs w:val="22"/>
        </w:rPr>
      </w:pPr>
      <w:r w:rsidRPr="003C715F">
        <w:rPr>
          <w:sz w:val="22"/>
          <w:szCs w:val="22"/>
        </w:rPr>
        <w:t>The GRAP Framework does not specifically discuss the creation and management of internal funds and reserves.  GRAP either requires the creation of reserves or acknowledges that entities are required to create them (compelled by statute).</w:t>
      </w:r>
    </w:p>
    <w:p w:rsidR="003C715F" w:rsidRDefault="5AD43551" w:rsidP="00DA4B74">
      <w:pPr>
        <w:pStyle w:val="ListParagraph"/>
        <w:jc w:val="both"/>
        <w:rPr>
          <w:sz w:val="22"/>
          <w:szCs w:val="22"/>
        </w:rPr>
      </w:pPr>
      <w:r w:rsidRPr="003C715F">
        <w:rPr>
          <w:sz w:val="22"/>
          <w:szCs w:val="22"/>
        </w:rPr>
        <w:t xml:space="preserve">Municipalities are not treating the Reserves and Funds consistently, some municipalities are not apportioning the Accumulated Surplus between cash backed funds and other </w:t>
      </w:r>
    </w:p>
    <w:p w:rsidR="00000FA3" w:rsidRPr="003C715F" w:rsidRDefault="5AD43551" w:rsidP="00DA4B74">
      <w:pPr>
        <w:pStyle w:val="ListParagraph"/>
        <w:jc w:val="both"/>
        <w:rPr>
          <w:sz w:val="22"/>
          <w:szCs w:val="22"/>
        </w:rPr>
      </w:pPr>
      <w:proofErr w:type="gramStart"/>
      <w:r w:rsidRPr="003C715F">
        <w:rPr>
          <w:sz w:val="22"/>
          <w:szCs w:val="22"/>
        </w:rPr>
        <w:t>assets</w:t>
      </w:r>
      <w:proofErr w:type="gramEnd"/>
      <w:r w:rsidRPr="003C715F">
        <w:rPr>
          <w:sz w:val="22"/>
          <w:szCs w:val="22"/>
        </w:rPr>
        <w:t xml:space="preserve"> (such as Property, plant and equipment).</w:t>
      </w:r>
    </w:p>
    <w:p w:rsidR="00563C7B" w:rsidRPr="003C715F" w:rsidRDefault="5AD43551" w:rsidP="00DA4B74">
      <w:pPr>
        <w:pStyle w:val="ListParagraph"/>
        <w:jc w:val="both"/>
        <w:rPr>
          <w:sz w:val="22"/>
          <w:szCs w:val="22"/>
        </w:rPr>
      </w:pPr>
      <w:r w:rsidRPr="003C715F">
        <w:rPr>
          <w:sz w:val="22"/>
          <w:szCs w:val="22"/>
        </w:rPr>
        <w:t xml:space="preserve">Furthermore, municipalities are not using the reserves as envisioned when created, and in some cases are unsure of the purposes </w:t>
      </w:r>
      <w:r w:rsidR="00DC0460" w:rsidRPr="003C715F">
        <w:rPr>
          <w:sz w:val="22"/>
          <w:szCs w:val="22"/>
        </w:rPr>
        <w:t xml:space="preserve">of </w:t>
      </w:r>
      <w:r w:rsidRPr="003C715F">
        <w:rPr>
          <w:sz w:val="22"/>
          <w:szCs w:val="22"/>
        </w:rPr>
        <w:t>the reserves and what they</w:t>
      </w:r>
      <w:r w:rsidR="00DC0460" w:rsidRPr="003C715F">
        <w:rPr>
          <w:sz w:val="22"/>
          <w:szCs w:val="22"/>
        </w:rPr>
        <w:t xml:space="preserve"> are</w:t>
      </w:r>
      <w:r w:rsidRPr="003C715F">
        <w:rPr>
          <w:sz w:val="22"/>
          <w:szCs w:val="22"/>
        </w:rPr>
        <w:t xml:space="preserve"> meant to fund. </w:t>
      </w:r>
      <w:r w:rsidR="00563C7B" w:rsidRPr="003C715F">
        <w:rPr>
          <w:sz w:val="22"/>
          <w:szCs w:val="22"/>
        </w:rPr>
        <w:t xml:space="preserve"> </w:t>
      </w:r>
    </w:p>
    <w:p w:rsidR="00000FA3" w:rsidRPr="003C715F" w:rsidRDefault="5AD43551" w:rsidP="00DA4B74">
      <w:pPr>
        <w:pStyle w:val="ListParagraph"/>
        <w:jc w:val="both"/>
        <w:rPr>
          <w:sz w:val="22"/>
          <w:szCs w:val="22"/>
        </w:rPr>
      </w:pPr>
      <w:r w:rsidRPr="003C715F">
        <w:rPr>
          <w:sz w:val="22"/>
          <w:szCs w:val="22"/>
        </w:rPr>
        <w:t xml:space="preserve">It is further noted that municipalities are also unsure when distinguishing between discretionary and required </w:t>
      </w:r>
      <w:r w:rsidR="00BC34A0" w:rsidRPr="003C715F">
        <w:rPr>
          <w:sz w:val="22"/>
          <w:szCs w:val="22"/>
        </w:rPr>
        <w:t xml:space="preserve">reserves </w:t>
      </w:r>
      <w:r w:rsidRPr="003C715F">
        <w:rPr>
          <w:sz w:val="22"/>
          <w:szCs w:val="22"/>
        </w:rPr>
        <w:t>(either through the accounting framework or legislation).</w:t>
      </w:r>
    </w:p>
    <w:p w:rsidR="003C715F" w:rsidRDefault="003C715F" w:rsidP="00DA4B74">
      <w:pPr>
        <w:pStyle w:val="ListParagraph"/>
        <w:jc w:val="both"/>
        <w:rPr>
          <w:sz w:val="22"/>
          <w:szCs w:val="22"/>
        </w:rPr>
      </w:pPr>
    </w:p>
    <w:p w:rsidR="6C767920" w:rsidRPr="003C715F" w:rsidRDefault="5AD43551" w:rsidP="00DA4B74">
      <w:pPr>
        <w:pStyle w:val="ListParagraph"/>
        <w:jc w:val="both"/>
        <w:rPr>
          <w:sz w:val="22"/>
          <w:szCs w:val="22"/>
        </w:rPr>
      </w:pPr>
      <w:r w:rsidRPr="003C715F">
        <w:rPr>
          <w:sz w:val="22"/>
          <w:szCs w:val="22"/>
        </w:rPr>
        <w:t xml:space="preserve">Where reserves have been created, for statutory or other purposes, the treatment thereof in the general ledger and the annual financial statements has been inconsistent. </w:t>
      </w:r>
    </w:p>
    <w:p w:rsidR="00E815D9" w:rsidRPr="003C715F" w:rsidRDefault="5AD43551" w:rsidP="00DA4B74">
      <w:pPr>
        <w:pStyle w:val="ListParagraph"/>
        <w:jc w:val="both"/>
        <w:rPr>
          <w:sz w:val="22"/>
          <w:szCs w:val="22"/>
        </w:rPr>
      </w:pPr>
      <w:r w:rsidRPr="003C715F">
        <w:rPr>
          <w:sz w:val="22"/>
          <w:szCs w:val="22"/>
        </w:rPr>
        <w:t xml:space="preserve">Furthermore, some of the reserves may not be “Cash-Backed” or funded as </w:t>
      </w:r>
      <w:r w:rsidR="005B2F56" w:rsidRPr="003C715F">
        <w:rPr>
          <w:sz w:val="22"/>
          <w:szCs w:val="22"/>
        </w:rPr>
        <w:t>to have money available when needed, for example assets need to be replaced</w:t>
      </w:r>
      <w:r w:rsidR="006A5CCB" w:rsidRPr="003C715F">
        <w:rPr>
          <w:sz w:val="22"/>
          <w:szCs w:val="22"/>
        </w:rPr>
        <w:t xml:space="preserve"> or</w:t>
      </w:r>
      <w:r w:rsidR="005B2F56" w:rsidRPr="003C715F">
        <w:rPr>
          <w:sz w:val="22"/>
          <w:szCs w:val="22"/>
        </w:rPr>
        <w:t xml:space="preserve"> provided for within the municipal policy requirements for the Capital Replacement Reserve</w:t>
      </w:r>
      <w:r w:rsidR="006A5CCB" w:rsidRPr="003C715F">
        <w:rPr>
          <w:sz w:val="22"/>
          <w:szCs w:val="22"/>
        </w:rPr>
        <w:t>.</w:t>
      </w:r>
    </w:p>
    <w:p w:rsidR="00D54A39" w:rsidRPr="003C715F" w:rsidRDefault="00E815D9" w:rsidP="00DA4B74">
      <w:pPr>
        <w:pStyle w:val="ListParagraph"/>
        <w:jc w:val="both"/>
        <w:rPr>
          <w:sz w:val="22"/>
          <w:szCs w:val="22"/>
        </w:rPr>
      </w:pPr>
      <w:r w:rsidRPr="003C715F">
        <w:rPr>
          <w:sz w:val="22"/>
          <w:szCs w:val="22"/>
        </w:rPr>
        <w:t>Municipalities had been advised to review their existing chart of accounts and determine if the accounts are still relevant, supported by sufficient policies</w:t>
      </w:r>
      <w:r w:rsidR="006A5CCB" w:rsidRPr="003C715F">
        <w:rPr>
          <w:sz w:val="22"/>
          <w:szCs w:val="22"/>
        </w:rPr>
        <w:t>,</w:t>
      </w:r>
      <w:r w:rsidRPr="003C715F">
        <w:rPr>
          <w:sz w:val="22"/>
          <w:szCs w:val="22"/>
        </w:rPr>
        <w:t xml:space="preserve"> and</w:t>
      </w:r>
      <w:r w:rsidR="006A5CCB" w:rsidRPr="003C715F">
        <w:rPr>
          <w:sz w:val="22"/>
          <w:szCs w:val="22"/>
        </w:rPr>
        <w:t>,</w:t>
      </w:r>
      <w:r w:rsidRPr="003C715F">
        <w:rPr>
          <w:sz w:val="22"/>
          <w:szCs w:val="22"/>
        </w:rPr>
        <w:t xml:space="preserve"> still in use.  Guidance </w:t>
      </w:r>
      <w:r w:rsidR="00FB68FC" w:rsidRPr="003C715F">
        <w:rPr>
          <w:sz w:val="22"/>
          <w:szCs w:val="22"/>
        </w:rPr>
        <w:t xml:space="preserve">to </w:t>
      </w:r>
      <w:r w:rsidRPr="003C715F">
        <w:rPr>
          <w:sz w:val="22"/>
          <w:szCs w:val="22"/>
        </w:rPr>
        <w:t>be taken from the following Annexures to review “legacy fund accounting relating</w:t>
      </w:r>
      <w:r w:rsidR="006F3E20" w:rsidRPr="003C715F">
        <w:rPr>
          <w:sz w:val="22"/>
          <w:szCs w:val="22"/>
        </w:rPr>
        <w:t xml:space="preserve"> to</w:t>
      </w:r>
      <w:r w:rsidRPr="003C715F">
        <w:rPr>
          <w:sz w:val="22"/>
          <w:szCs w:val="22"/>
        </w:rPr>
        <w:t xml:space="preserve"> Reserves and Funds” and proposed unbundling requirements prior to converting to mSCOA:</w:t>
      </w:r>
    </w:p>
    <w:p w:rsidR="00E815D9" w:rsidRPr="003C715F" w:rsidRDefault="00E815D9" w:rsidP="00DA4B74">
      <w:pPr>
        <w:pStyle w:val="BulletLevelParagraph"/>
        <w:rPr>
          <w:sz w:val="22"/>
          <w:szCs w:val="22"/>
        </w:rPr>
      </w:pPr>
      <w:r w:rsidRPr="003C715F">
        <w:rPr>
          <w:sz w:val="22"/>
          <w:szCs w:val="22"/>
        </w:rPr>
        <w:fldChar w:fldCharType="begin"/>
      </w:r>
      <w:r w:rsidRPr="003C715F">
        <w:rPr>
          <w:sz w:val="22"/>
          <w:szCs w:val="22"/>
        </w:rPr>
        <w:instrText xml:space="preserve"> REF _Ref456974923 \h  \* MERGEFORMAT </w:instrText>
      </w:r>
      <w:r w:rsidRPr="003C715F">
        <w:rPr>
          <w:sz w:val="22"/>
          <w:szCs w:val="22"/>
        </w:rPr>
      </w:r>
      <w:r w:rsidRPr="003C715F">
        <w:rPr>
          <w:sz w:val="22"/>
          <w:szCs w:val="22"/>
        </w:rPr>
        <w:fldChar w:fldCharType="separate"/>
      </w:r>
      <w:r w:rsidR="00616BED" w:rsidRPr="003C715F">
        <w:rPr>
          <w:sz w:val="22"/>
          <w:szCs w:val="22"/>
        </w:rPr>
        <w:t>ANNEXURE B - MAY 2004 – GUIDELINES FOR THE IMPLEMENTATION OF ACCOUNTING STANDARDS OF GENERALLY RECOGNISED ACCOUNTING PRACTICE</w:t>
      </w:r>
      <w:r w:rsidRPr="003C715F">
        <w:rPr>
          <w:sz w:val="22"/>
          <w:szCs w:val="22"/>
        </w:rPr>
        <w:fldChar w:fldCharType="end"/>
      </w:r>
    </w:p>
    <w:p w:rsidR="00E815D9" w:rsidRPr="003C715F" w:rsidRDefault="00E815D9" w:rsidP="00DA4B74">
      <w:pPr>
        <w:pStyle w:val="BulletLevelParagraph"/>
        <w:rPr>
          <w:sz w:val="22"/>
          <w:szCs w:val="22"/>
        </w:rPr>
      </w:pPr>
      <w:r w:rsidRPr="003C715F">
        <w:rPr>
          <w:sz w:val="22"/>
          <w:szCs w:val="22"/>
        </w:rPr>
        <w:fldChar w:fldCharType="begin"/>
      </w:r>
      <w:r w:rsidRPr="003C715F">
        <w:rPr>
          <w:sz w:val="22"/>
          <w:szCs w:val="22"/>
        </w:rPr>
        <w:instrText xml:space="preserve"> REF _Ref456983619 \h  \* MERGEFORMAT </w:instrText>
      </w:r>
      <w:r w:rsidRPr="003C715F">
        <w:rPr>
          <w:sz w:val="22"/>
          <w:szCs w:val="22"/>
        </w:rPr>
      </w:r>
      <w:r w:rsidRPr="003C715F">
        <w:rPr>
          <w:sz w:val="22"/>
          <w:szCs w:val="22"/>
        </w:rPr>
        <w:fldChar w:fldCharType="separate"/>
      </w:r>
      <w:r w:rsidR="00616BED" w:rsidRPr="003C715F">
        <w:rPr>
          <w:sz w:val="22"/>
          <w:szCs w:val="22"/>
        </w:rPr>
        <w:t>ANNEXURE C – GUIDELINES FOR THE IMPLEMENTATION OF ACCOUNTING STANDARDS OF GENERALLY RECOGNISED ACCOUNTING PRACTICE ISSUED WITH MFMA CIRCULAR 18 (JUNE 2005)</w:t>
      </w:r>
      <w:r w:rsidRPr="003C715F">
        <w:rPr>
          <w:sz w:val="22"/>
          <w:szCs w:val="22"/>
        </w:rPr>
        <w:fldChar w:fldCharType="end"/>
      </w:r>
    </w:p>
    <w:p w:rsidR="00563C7B" w:rsidRPr="003C715F" w:rsidRDefault="00563C7B" w:rsidP="00DA4B74">
      <w:pPr>
        <w:pStyle w:val="ListParagraph"/>
        <w:jc w:val="both"/>
        <w:rPr>
          <w:sz w:val="22"/>
          <w:szCs w:val="22"/>
        </w:rPr>
      </w:pPr>
      <w:r w:rsidRPr="003C715F">
        <w:rPr>
          <w:sz w:val="22"/>
          <w:szCs w:val="22"/>
        </w:rPr>
        <w:t xml:space="preserve">The mSCOA Classification Framework require standardisation of existing practices.  Therefore, the need for this Position Paper to guide municipalities in their request for the opening of “fund and reserve accounts” specific to the </w:t>
      </w:r>
      <w:proofErr w:type="gramStart"/>
      <w:r w:rsidRPr="003C715F">
        <w:rPr>
          <w:sz w:val="22"/>
          <w:szCs w:val="22"/>
        </w:rPr>
        <w:t>municipalities</w:t>
      </w:r>
      <w:proofErr w:type="gramEnd"/>
      <w:r w:rsidRPr="003C715F">
        <w:rPr>
          <w:sz w:val="22"/>
          <w:szCs w:val="22"/>
        </w:rPr>
        <w:t xml:space="preserve"> requirement.</w:t>
      </w:r>
    </w:p>
    <w:p w:rsidR="00563C7B" w:rsidRPr="003C715F" w:rsidRDefault="00563C7B" w:rsidP="00DA4B74">
      <w:pPr>
        <w:pStyle w:val="ListParagraph"/>
        <w:jc w:val="both"/>
        <w:rPr>
          <w:sz w:val="22"/>
          <w:szCs w:val="22"/>
        </w:rPr>
      </w:pPr>
      <w:r w:rsidRPr="003C715F">
        <w:rPr>
          <w:sz w:val="22"/>
          <w:szCs w:val="22"/>
        </w:rPr>
        <w:t xml:space="preserve">The National Treasury Guidance on the subject matter is spread over various documents and does not provide a continuous flow from the earlier fund accounting modules through the evolution thereof to the Standards of GRAP.  Confusion exist on how to deal with some of the legacy fund accounts not </w:t>
      </w:r>
      <w:r w:rsidR="006B7EFE" w:rsidRPr="003C715F">
        <w:rPr>
          <w:sz w:val="22"/>
          <w:szCs w:val="22"/>
        </w:rPr>
        <w:t>necessarily relevant</w:t>
      </w:r>
      <w:r w:rsidRPr="003C715F">
        <w:rPr>
          <w:sz w:val="22"/>
          <w:szCs w:val="22"/>
        </w:rPr>
        <w:t xml:space="preserve"> in the context of the municipalities funding mechanism.  </w:t>
      </w:r>
    </w:p>
    <w:p w:rsidR="00AC5DE8" w:rsidRPr="00695A56" w:rsidRDefault="00253559" w:rsidP="00695A56">
      <w:pPr>
        <w:pStyle w:val="Heading2"/>
        <w:spacing w:before="200" w:after="0" w:line="276" w:lineRule="auto"/>
        <w:rPr>
          <w:rFonts w:ascii="Arial" w:hAnsi="Arial" w:cs="Arial"/>
          <w:color w:val="auto"/>
          <w:sz w:val="24"/>
          <w:szCs w:val="24"/>
        </w:rPr>
      </w:pPr>
      <w:bookmarkStart w:id="8" w:name="_Toc466034835"/>
      <w:r w:rsidRPr="00695A56">
        <w:rPr>
          <w:rFonts w:ascii="Arial" w:hAnsi="Arial" w:cs="Arial"/>
          <w:color w:val="auto"/>
          <w:sz w:val="24"/>
          <w:szCs w:val="24"/>
        </w:rPr>
        <w:t xml:space="preserve">LEGISLATIVE AND </w:t>
      </w:r>
      <w:r w:rsidR="00796AD0" w:rsidRPr="00695A56">
        <w:rPr>
          <w:rFonts w:ascii="Arial" w:hAnsi="Arial" w:cs="Arial"/>
          <w:color w:val="auto"/>
          <w:sz w:val="24"/>
          <w:szCs w:val="24"/>
        </w:rPr>
        <w:t xml:space="preserve">ACCOUNTING </w:t>
      </w:r>
      <w:r w:rsidRPr="00695A56">
        <w:rPr>
          <w:rFonts w:ascii="Arial" w:hAnsi="Arial" w:cs="Arial"/>
          <w:color w:val="auto"/>
          <w:sz w:val="24"/>
          <w:szCs w:val="24"/>
        </w:rPr>
        <w:t>STANDARD</w:t>
      </w:r>
      <w:r w:rsidR="00796AD0" w:rsidRPr="00695A56">
        <w:rPr>
          <w:rFonts w:ascii="Arial" w:hAnsi="Arial" w:cs="Arial"/>
          <w:color w:val="auto"/>
          <w:sz w:val="24"/>
          <w:szCs w:val="24"/>
        </w:rPr>
        <w:t>S</w:t>
      </w:r>
      <w:bookmarkEnd w:id="8"/>
      <w:r w:rsidRPr="00695A56">
        <w:rPr>
          <w:rFonts w:ascii="Arial" w:hAnsi="Arial" w:cs="Arial"/>
          <w:color w:val="auto"/>
          <w:sz w:val="24"/>
          <w:szCs w:val="24"/>
        </w:rPr>
        <w:t xml:space="preserve"> </w:t>
      </w:r>
    </w:p>
    <w:p w:rsidR="00171E5E" w:rsidRPr="00695A56" w:rsidRDefault="00EB76FC" w:rsidP="00695A56">
      <w:pPr>
        <w:pStyle w:val="Heading3"/>
        <w:rPr>
          <w:rFonts w:ascii="Arial" w:hAnsi="Arial" w:cs="Arial"/>
          <w:color w:val="auto"/>
          <w:sz w:val="20"/>
          <w:szCs w:val="20"/>
        </w:rPr>
      </w:pPr>
      <w:bookmarkStart w:id="9" w:name="_Toc466034836"/>
      <w:r w:rsidRPr="00695A56">
        <w:rPr>
          <w:rFonts w:ascii="Arial" w:hAnsi="Arial" w:cs="Arial"/>
          <w:color w:val="auto"/>
          <w:sz w:val="20"/>
          <w:szCs w:val="20"/>
        </w:rPr>
        <w:t>Legislation</w:t>
      </w:r>
      <w:bookmarkEnd w:id="9"/>
    </w:p>
    <w:p w:rsidR="009F04B6" w:rsidRPr="003C715F" w:rsidRDefault="5AD43551" w:rsidP="00DA4B74">
      <w:pPr>
        <w:pStyle w:val="ListParagraph"/>
        <w:jc w:val="both"/>
        <w:rPr>
          <w:sz w:val="22"/>
          <w:szCs w:val="22"/>
        </w:rPr>
      </w:pPr>
      <w:r w:rsidRPr="003C715F">
        <w:rPr>
          <w:sz w:val="22"/>
          <w:szCs w:val="22"/>
        </w:rPr>
        <w:t>Section 18 of the MFMA states that an annual budget may only be funded from-</w:t>
      </w:r>
    </w:p>
    <w:p w:rsidR="009F04B6" w:rsidRPr="003C715F" w:rsidRDefault="6C767920" w:rsidP="00DA4B74">
      <w:pPr>
        <w:pStyle w:val="ListParagraph"/>
        <w:numPr>
          <w:ilvl w:val="0"/>
          <w:numId w:val="33"/>
        </w:numPr>
        <w:jc w:val="both"/>
        <w:rPr>
          <w:sz w:val="22"/>
          <w:szCs w:val="22"/>
        </w:rPr>
      </w:pPr>
      <w:r w:rsidRPr="003C715F">
        <w:rPr>
          <w:sz w:val="22"/>
          <w:szCs w:val="22"/>
        </w:rPr>
        <w:t>Realistically anticipated revenues to be collected;</w:t>
      </w:r>
    </w:p>
    <w:p w:rsidR="009F04B6" w:rsidRPr="003C715F" w:rsidRDefault="6C767920" w:rsidP="00DA4B74">
      <w:pPr>
        <w:pStyle w:val="ListParagraph"/>
        <w:numPr>
          <w:ilvl w:val="0"/>
          <w:numId w:val="33"/>
        </w:numPr>
        <w:jc w:val="both"/>
        <w:rPr>
          <w:sz w:val="22"/>
          <w:szCs w:val="22"/>
        </w:rPr>
      </w:pPr>
      <w:r w:rsidRPr="003C715F">
        <w:rPr>
          <w:sz w:val="22"/>
          <w:szCs w:val="22"/>
        </w:rPr>
        <w:t xml:space="preserve">Cash-backed accumulated funds from previous </w:t>
      </w:r>
      <w:r w:rsidR="00F3199B" w:rsidRPr="003C715F">
        <w:rPr>
          <w:sz w:val="22"/>
          <w:szCs w:val="22"/>
        </w:rPr>
        <w:t>years’</w:t>
      </w:r>
      <w:r w:rsidRPr="003C715F">
        <w:rPr>
          <w:sz w:val="22"/>
          <w:szCs w:val="22"/>
        </w:rPr>
        <w:t xml:space="preserve"> surpluses not committed for other purposes; and</w:t>
      </w:r>
    </w:p>
    <w:p w:rsidR="00857606" w:rsidRPr="003C715F" w:rsidRDefault="6C767920" w:rsidP="00DA4B74">
      <w:pPr>
        <w:pStyle w:val="ListParagraph"/>
        <w:numPr>
          <w:ilvl w:val="0"/>
          <w:numId w:val="33"/>
        </w:numPr>
        <w:jc w:val="both"/>
        <w:rPr>
          <w:sz w:val="22"/>
          <w:szCs w:val="22"/>
        </w:rPr>
      </w:pPr>
      <w:r w:rsidRPr="003C715F">
        <w:rPr>
          <w:sz w:val="22"/>
          <w:szCs w:val="22"/>
        </w:rPr>
        <w:t>Borrowed funds, but only for the capital budget.</w:t>
      </w:r>
    </w:p>
    <w:p w:rsidR="00857606" w:rsidRPr="003C715F" w:rsidRDefault="5AD43551" w:rsidP="00DA4B74">
      <w:pPr>
        <w:pStyle w:val="ListParagraph"/>
        <w:jc w:val="both"/>
        <w:rPr>
          <w:rFonts w:ascii="TTE4F3F008t00" w:hAnsi="TTE4F3F008t00"/>
          <w:sz w:val="22"/>
          <w:szCs w:val="22"/>
        </w:rPr>
      </w:pPr>
      <w:r w:rsidRPr="003C715F">
        <w:rPr>
          <w:sz w:val="22"/>
          <w:szCs w:val="22"/>
        </w:rPr>
        <w:t>MFMA Circular 28 and</w:t>
      </w:r>
      <w:r w:rsidR="005B2F56" w:rsidRPr="003C715F">
        <w:rPr>
          <w:sz w:val="22"/>
          <w:szCs w:val="22"/>
        </w:rPr>
        <w:t xml:space="preserve">42 </w:t>
      </w:r>
      <w:r w:rsidRPr="003C715F">
        <w:rPr>
          <w:sz w:val="22"/>
          <w:szCs w:val="22"/>
        </w:rPr>
        <w:t xml:space="preserve">issued by National Treasury </w:t>
      </w:r>
      <w:r w:rsidR="00046AE7" w:rsidRPr="003C715F">
        <w:rPr>
          <w:sz w:val="22"/>
          <w:szCs w:val="22"/>
        </w:rPr>
        <w:t xml:space="preserve">provide </w:t>
      </w:r>
      <w:r w:rsidRPr="003C715F">
        <w:rPr>
          <w:sz w:val="22"/>
          <w:szCs w:val="22"/>
        </w:rPr>
        <w:t xml:space="preserve">specifications that the budget of a municipality must be “funded”. </w:t>
      </w:r>
    </w:p>
    <w:p w:rsidR="00D40DEC" w:rsidRPr="003C715F" w:rsidRDefault="06EBCEDA" w:rsidP="00DA4B74">
      <w:pPr>
        <w:pStyle w:val="ListParagraph"/>
        <w:jc w:val="both"/>
        <w:rPr>
          <w:sz w:val="22"/>
          <w:szCs w:val="22"/>
        </w:rPr>
      </w:pPr>
      <w:r w:rsidRPr="003C715F">
        <w:rPr>
          <w:sz w:val="22"/>
          <w:szCs w:val="22"/>
        </w:rPr>
        <w:t xml:space="preserve">MFMA Circular 42 states that the capital budget may be funded by cash-backed accumulated funds from the previous year, </w:t>
      </w:r>
      <w:r w:rsidR="00F3199B" w:rsidRPr="003C715F">
        <w:rPr>
          <w:sz w:val="22"/>
          <w:szCs w:val="22"/>
        </w:rPr>
        <w:t>i.e.</w:t>
      </w:r>
      <w:r w:rsidRPr="003C715F">
        <w:rPr>
          <w:sz w:val="22"/>
          <w:szCs w:val="22"/>
        </w:rPr>
        <w:t xml:space="preserve"> those current cash surplus</w:t>
      </w:r>
      <w:r w:rsidR="00046AE7" w:rsidRPr="003C715F">
        <w:rPr>
          <w:sz w:val="22"/>
          <w:szCs w:val="22"/>
        </w:rPr>
        <w:t>es</w:t>
      </w:r>
      <w:r w:rsidRPr="003C715F">
        <w:rPr>
          <w:sz w:val="22"/>
          <w:szCs w:val="22"/>
        </w:rPr>
        <w:t>, less future commitments.</w:t>
      </w:r>
    </w:p>
    <w:p w:rsidR="003638AF" w:rsidRPr="003C715F" w:rsidRDefault="5AD43551" w:rsidP="00DA4B74">
      <w:pPr>
        <w:pStyle w:val="ListParagraph"/>
        <w:jc w:val="both"/>
        <w:rPr>
          <w:sz w:val="22"/>
          <w:szCs w:val="22"/>
        </w:rPr>
      </w:pPr>
      <w:r w:rsidRPr="003C715F">
        <w:rPr>
          <w:sz w:val="22"/>
          <w:szCs w:val="22"/>
        </w:rPr>
        <w:t>Section 122(3) of the MFMA requires that annual financial statements and consolidated annual financial statements must be prepared in accordance with generally recognised accounting practice prescribed in terms of section 91 (1) (b) of the Public Finance Management Act.</w:t>
      </w:r>
    </w:p>
    <w:p w:rsidR="00171E5E" w:rsidRPr="00695A56" w:rsidRDefault="00253559" w:rsidP="00695A56">
      <w:pPr>
        <w:pStyle w:val="Heading3"/>
        <w:rPr>
          <w:rFonts w:ascii="Arial" w:hAnsi="Arial" w:cs="Arial"/>
          <w:color w:val="auto"/>
          <w:sz w:val="20"/>
          <w:szCs w:val="20"/>
        </w:rPr>
      </w:pPr>
      <w:bookmarkStart w:id="10" w:name="_Toc466034837"/>
      <w:r w:rsidRPr="00695A56">
        <w:rPr>
          <w:rFonts w:ascii="Arial" w:hAnsi="Arial" w:cs="Arial"/>
          <w:color w:val="auto"/>
          <w:sz w:val="20"/>
          <w:szCs w:val="20"/>
        </w:rPr>
        <w:t>GRAP references</w:t>
      </w:r>
      <w:bookmarkEnd w:id="10"/>
    </w:p>
    <w:p w:rsidR="00D40DEC" w:rsidRPr="003C715F" w:rsidRDefault="5AD43551" w:rsidP="00DA4B74">
      <w:pPr>
        <w:pStyle w:val="ListParagraph"/>
        <w:jc w:val="both"/>
        <w:rPr>
          <w:sz w:val="22"/>
          <w:szCs w:val="22"/>
        </w:rPr>
      </w:pPr>
      <w:r w:rsidRPr="003C715F">
        <w:rPr>
          <w:sz w:val="22"/>
          <w:szCs w:val="22"/>
        </w:rPr>
        <w:t>Paragraph 110 of GRAP 1 (Presentation of Financial Statements) states the following with regard to presentation in the Statement of Changes in Net Assets:</w:t>
      </w:r>
    </w:p>
    <w:p w:rsidR="00D40DEC" w:rsidRPr="003C715F" w:rsidRDefault="6C767920" w:rsidP="00DA4B74">
      <w:pPr>
        <w:spacing w:before="120" w:after="120" w:line="240" w:lineRule="auto"/>
        <w:ind w:left="851"/>
        <w:jc w:val="both"/>
        <w:rPr>
          <w:sz w:val="22"/>
        </w:rPr>
      </w:pPr>
      <w:r w:rsidRPr="003C715F">
        <w:rPr>
          <w:sz w:val="22"/>
        </w:rPr>
        <w:t xml:space="preserve">“An entity shall present a statement of changes in net assets as required by paragraph .11. The statement of changes in net assets includes the following information: </w:t>
      </w:r>
    </w:p>
    <w:p w:rsidR="00D40DEC" w:rsidRPr="003C715F" w:rsidRDefault="6C767920" w:rsidP="00DA4B74">
      <w:pPr>
        <w:pStyle w:val="BulletLevelParagraph"/>
        <w:rPr>
          <w:rFonts w:cs="Arial"/>
          <w:color w:val="000000"/>
          <w:sz w:val="22"/>
          <w:szCs w:val="22"/>
        </w:rPr>
      </w:pPr>
      <w:r w:rsidRPr="003C715F">
        <w:rPr>
          <w:sz w:val="22"/>
          <w:szCs w:val="22"/>
        </w:rPr>
        <w:t xml:space="preserve">(a) the surplus or deficit for the period; </w:t>
      </w:r>
    </w:p>
    <w:p w:rsidR="00D40DEC" w:rsidRPr="003C715F" w:rsidRDefault="6C767920" w:rsidP="00DA4B74">
      <w:pPr>
        <w:pStyle w:val="BulletLevelParagraph"/>
        <w:rPr>
          <w:rFonts w:cs="Arial"/>
          <w:color w:val="000000"/>
          <w:sz w:val="22"/>
          <w:szCs w:val="22"/>
        </w:rPr>
      </w:pPr>
      <w:r w:rsidRPr="003C715F">
        <w:rPr>
          <w:sz w:val="22"/>
          <w:szCs w:val="22"/>
        </w:rPr>
        <w:t xml:space="preserve">(b) each item of revenue and expenses for the period that, as required by other Standards of GRAP, is recognised directly in net assets, and the total of these items; </w:t>
      </w:r>
    </w:p>
    <w:p w:rsidR="00D40DEC" w:rsidRPr="003C715F" w:rsidRDefault="6C767920" w:rsidP="00DA4B74">
      <w:pPr>
        <w:pStyle w:val="BulletLevelParagraph"/>
        <w:rPr>
          <w:rFonts w:cs="Arial"/>
          <w:color w:val="000000"/>
          <w:sz w:val="22"/>
          <w:szCs w:val="22"/>
        </w:rPr>
      </w:pPr>
      <w:r w:rsidRPr="003C715F">
        <w:rPr>
          <w:sz w:val="22"/>
          <w:szCs w:val="22"/>
        </w:rPr>
        <w:t xml:space="preserve">(c) total revenue and expenses for the period (calculated as the sum of (a) and (b)), showing separately the total amounts attributable to owners of the controlling entity and to minority interest; and </w:t>
      </w:r>
    </w:p>
    <w:p w:rsidR="00BC29DD" w:rsidRPr="003C715F" w:rsidRDefault="6C767920" w:rsidP="00DA4B74">
      <w:pPr>
        <w:pStyle w:val="BulletLevelParagraph"/>
        <w:rPr>
          <w:rFonts w:cs="Arial"/>
          <w:bCs/>
          <w:iCs/>
          <w:color w:val="000000"/>
          <w:sz w:val="22"/>
          <w:szCs w:val="22"/>
        </w:rPr>
      </w:pPr>
      <w:r w:rsidRPr="003C715F">
        <w:rPr>
          <w:sz w:val="22"/>
          <w:szCs w:val="22"/>
        </w:rPr>
        <w:t xml:space="preserve">(d) </w:t>
      </w:r>
      <w:proofErr w:type="gramStart"/>
      <w:r w:rsidRPr="003C715F">
        <w:rPr>
          <w:sz w:val="22"/>
          <w:szCs w:val="22"/>
        </w:rPr>
        <w:t>for</w:t>
      </w:r>
      <w:proofErr w:type="gramEnd"/>
      <w:r w:rsidRPr="003C715F">
        <w:rPr>
          <w:sz w:val="22"/>
          <w:szCs w:val="22"/>
        </w:rPr>
        <w:t xml:space="preserve"> each component of net assets, the effects of changes in accounting policies and the corrections of errors recognised in accordance with the Standard of GRAP on Accounting Policies, Changes in Accounting Estimates</w:t>
      </w:r>
      <w:r w:rsidR="00DC72E9" w:rsidRPr="003C715F">
        <w:rPr>
          <w:sz w:val="22"/>
          <w:szCs w:val="22"/>
        </w:rPr>
        <w:t>;</w:t>
      </w:r>
      <w:r w:rsidRPr="003C715F">
        <w:rPr>
          <w:sz w:val="22"/>
          <w:szCs w:val="22"/>
        </w:rPr>
        <w:t xml:space="preserve"> and</w:t>
      </w:r>
      <w:r w:rsidR="00DC72E9" w:rsidRPr="003C715F">
        <w:rPr>
          <w:sz w:val="22"/>
          <w:szCs w:val="22"/>
        </w:rPr>
        <w:t>,</w:t>
      </w:r>
      <w:r w:rsidRPr="003C715F">
        <w:rPr>
          <w:sz w:val="22"/>
          <w:szCs w:val="22"/>
        </w:rPr>
        <w:t xml:space="preserve"> Errors. </w:t>
      </w:r>
    </w:p>
    <w:p w:rsidR="008A3C5F" w:rsidRPr="003C715F" w:rsidRDefault="5AD43551" w:rsidP="00DA4B74">
      <w:pPr>
        <w:pStyle w:val="ListParagraph"/>
        <w:jc w:val="both"/>
        <w:rPr>
          <w:sz w:val="22"/>
          <w:szCs w:val="22"/>
        </w:rPr>
      </w:pPr>
      <w:r w:rsidRPr="003C715F">
        <w:rPr>
          <w:sz w:val="22"/>
          <w:szCs w:val="22"/>
        </w:rPr>
        <w:t xml:space="preserve">Paragraph </w:t>
      </w:r>
      <w:r w:rsidR="00F3199B" w:rsidRPr="003C715F">
        <w:rPr>
          <w:sz w:val="22"/>
          <w:szCs w:val="22"/>
        </w:rPr>
        <w:t>111 of</w:t>
      </w:r>
      <w:r w:rsidRPr="003C715F">
        <w:rPr>
          <w:sz w:val="22"/>
          <w:szCs w:val="22"/>
        </w:rPr>
        <w:t xml:space="preserve"> GRAP 1 states that </w:t>
      </w:r>
    </w:p>
    <w:p w:rsidR="008A3C5F" w:rsidRPr="003C715F" w:rsidRDefault="6C767920" w:rsidP="00DA4B74">
      <w:pPr>
        <w:ind w:left="851"/>
        <w:jc w:val="both"/>
        <w:rPr>
          <w:sz w:val="22"/>
        </w:rPr>
      </w:pPr>
      <w:r w:rsidRPr="003C715F">
        <w:rPr>
          <w:sz w:val="22"/>
        </w:rPr>
        <w:t xml:space="preserve">“An entity shall also present, either on the face of the statement of changes in net assets or in the notes: </w:t>
      </w:r>
    </w:p>
    <w:p w:rsidR="00560E28" w:rsidRPr="003C715F" w:rsidRDefault="6C767920" w:rsidP="00DA4B74">
      <w:pPr>
        <w:pStyle w:val="BulletLevelParagraph"/>
        <w:rPr>
          <w:sz w:val="22"/>
          <w:szCs w:val="22"/>
        </w:rPr>
      </w:pPr>
      <w:r w:rsidRPr="003C715F">
        <w:rPr>
          <w:sz w:val="22"/>
          <w:szCs w:val="22"/>
        </w:rPr>
        <w:t xml:space="preserve">(a) the amounts of transactions with owners acting in their capacity as owners, showing separately distributions to owners; </w:t>
      </w:r>
    </w:p>
    <w:p w:rsidR="008A3C5F" w:rsidRPr="003C715F" w:rsidRDefault="6C767920" w:rsidP="00DA4B74">
      <w:pPr>
        <w:pStyle w:val="BulletLevelParagraph"/>
        <w:rPr>
          <w:sz w:val="22"/>
          <w:szCs w:val="22"/>
        </w:rPr>
      </w:pPr>
      <w:r w:rsidRPr="003C715F">
        <w:rPr>
          <w:sz w:val="22"/>
          <w:szCs w:val="22"/>
        </w:rPr>
        <w:t xml:space="preserve">(b) the balance of accumulated surpluses or deficits at the beginning of the period and at the reporting date, and the changes during the period; and </w:t>
      </w:r>
    </w:p>
    <w:p w:rsidR="008A3C5F" w:rsidRPr="003C715F" w:rsidRDefault="6C767920" w:rsidP="00DA4B74">
      <w:pPr>
        <w:pStyle w:val="BulletLevelParagraph"/>
        <w:rPr>
          <w:sz w:val="22"/>
          <w:szCs w:val="22"/>
        </w:rPr>
      </w:pPr>
      <w:r w:rsidRPr="003C715F">
        <w:rPr>
          <w:sz w:val="22"/>
          <w:szCs w:val="22"/>
        </w:rPr>
        <w:t>(c) to the extent that components of net assets are separately disclosed, a reconciliation</w:t>
      </w:r>
      <w:r w:rsidR="007D684B" w:rsidRPr="003C715F">
        <w:rPr>
          <w:sz w:val="22"/>
          <w:szCs w:val="22"/>
        </w:rPr>
        <w:t xml:space="preserve"> </w:t>
      </w:r>
      <w:r w:rsidRPr="003C715F">
        <w:rPr>
          <w:sz w:val="22"/>
          <w:szCs w:val="22"/>
        </w:rPr>
        <w:t xml:space="preserve">between the carrying amount of each component of net assets and each reserve at the beginning and the end of the period, separately disclosing each change. </w:t>
      </w:r>
    </w:p>
    <w:p w:rsidR="005B2F56" w:rsidRPr="003C715F" w:rsidRDefault="005B2F56" w:rsidP="00DA4B74">
      <w:pPr>
        <w:pStyle w:val="BulletLevelParagraph"/>
        <w:numPr>
          <w:ilvl w:val="0"/>
          <w:numId w:val="0"/>
        </w:numPr>
        <w:ind w:left="851"/>
        <w:rPr>
          <w:sz w:val="22"/>
          <w:szCs w:val="22"/>
        </w:rPr>
      </w:pPr>
      <w:r w:rsidRPr="003C715F">
        <w:rPr>
          <w:sz w:val="22"/>
          <w:szCs w:val="22"/>
        </w:rPr>
        <w:t>The Conceptual Framework issued by the Accounting Standards Board in June 2004 contains the following: “The creation of reserves is sometimes required by statute or other law in order to give the entity and its creditors an added measure of protection from the effects of future losses.  The existence and size of these legal, statutory and tax reserves is information that can be relevant to the decision-making needs of users.  Transfers to such reserves are deemed to be appropriations of accumulated surpluses and deficits, and not expenses.  Any such transfers are disclosed in the statement of changes in net assets.”</w:t>
      </w:r>
    </w:p>
    <w:p w:rsidR="00563C7B" w:rsidRPr="00695A56" w:rsidRDefault="00AE3CE7" w:rsidP="00695A56">
      <w:pPr>
        <w:pStyle w:val="Heading2"/>
        <w:spacing w:before="200" w:after="0" w:line="276" w:lineRule="auto"/>
        <w:rPr>
          <w:rFonts w:ascii="Arial" w:hAnsi="Arial" w:cs="Arial"/>
          <w:color w:val="auto"/>
          <w:sz w:val="24"/>
          <w:szCs w:val="24"/>
        </w:rPr>
      </w:pPr>
      <w:bookmarkStart w:id="11" w:name="_Toc466034838"/>
      <w:r w:rsidRPr="00695A56">
        <w:rPr>
          <w:rFonts w:ascii="Arial" w:hAnsi="Arial" w:cs="Arial"/>
          <w:color w:val="auto"/>
          <w:sz w:val="24"/>
          <w:szCs w:val="24"/>
        </w:rPr>
        <w:t>POSITION</w:t>
      </w:r>
      <w:r w:rsidR="00BB18FD" w:rsidRPr="00695A56">
        <w:rPr>
          <w:rFonts w:ascii="Arial" w:hAnsi="Arial" w:cs="Arial"/>
          <w:color w:val="auto"/>
          <w:sz w:val="24"/>
          <w:szCs w:val="24"/>
        </w:rPr>
        <w:t xml:space="preserve"> OF mSCOA</w:t>
      </w:r>
      <w:bookmarkEnd w:id="11"/>
      <w:r w:rsidR="00BB18FD" w:rsidRPr="00695A56">
        <w:rPr>
          <w:rFonts w:ascii="Arial" w:hAnsi="Arial" w:cs="Arial"/>
          <w:color w:val="auto"/>
          <w:sz w:val="24"/>
          <w:szCs w:val="24"/>
        </w:rPr>
        <w:t xml:space="preserve"> </w:t>
      </w:r>
      <w:r w:rsidR="0089137A" w:rsidRPr="00695A56">
        <w:rPr>
          <w:rFonts w:ascii="Arial" w:hAnsi="Arial" w:cs="Arial"/>
          <w:color w:val="auto"/>
          <w:sz w:val="24"/>
          <w:szCs w:val="24"/>
        </w:rPr>
        <w:t xml:space="preserve"> </w:t>
      </w:r>
    </w:p>
    <w:p w:rsidR="00861151" w:rsidRPr="003C715F" w:rsidRDefault="007D3C4E" w:rsidP="00DA4B74">
      <w:pPr>
        <w:pStyle w:val="ListParagraph"/>
        <w:jc w:val="both"/>
        <w:rPr>
          <w:sz w:val="22"/>
          <w:szCs w:val="22"/>
        </w:rPr>
      </w:pPr>
      <w:r w:rsidRPr="003C715F">
        <w:rPr>
          <w:sz w:val="22"/>
          <w:szCs w:val="22"/>
        </w:rPr>
        <w:t xml:space="preserve">The table hereunder summarise the </w:t>
      </w:r>
      <w:r w:rsidR="00794D01" w:rsidRPr="003C715F">
        <w:rPr>
          <w:sz w:val="22"/>
          <w:szCs w:val="22"/>
        </w:rPr>
        <w:t xml:space="preserve">few </w:t>
      </w:r>
      <w:r w:rsidRPr="003C715F">
        <w:rPr>
          <w:sz w:val="22"/>
          <w:szCs w:val="22"/>
        </w:rPr>
        <w:t xml:space="preserve">Reserves and Funds retained in mSCOA version </w:t>
      </w:r>
      <w:r w:rsidR="00794D01" w:rsidRPr="003C715F">
        <w:rPr>
          <w:sz w:val="22"/>
          <w:szCs w:val="22"/>
        </w:rPr>
        <w:t>5.5 with reason for allowing these accounts.</w:t>
      </w:r>
      <w:r w:rsidR="00861151" w:rsidRPr="003C715F">
        <w:rPr>
          <w:sz w:val="22"/>
          <w:szCs w:val="22"/>
        </w:rPr>
        <w:t xml:space="preserve">  These account are set-up at</w:t>
      </w:r>
      <w:r w:rsidR="00DF46B4" w:rsidRPr="003C715F">
        <w:rPr>
          <w:sz w:val="22"/>
          <w:szCs w:val="22"/>
        </w:rPr>
        <w:t xml:space="preserve"> the</w:t>
      </w:r>
      <w:r w:rsidR="00861151" w:rsidRPr="003C715F">
        <w:rPr>
          <w:sz w:val="22"/>
          <w:szCs w:val="22"/>
        </w:rPr>
        <w:t xml:space="preserve"> request of the municipality by National Treasury without any further breakdown required.  </w:t>
      </w:r>
    </w:p>
    <w:p w:rsidR="00F2124B" w:rsidRPr="003C715F" w:rsidRDefault="00861151" w:rsidP="00DA4B74">
      <w:pPr>
        <w:pStyle w:val="ListParagraph"/>
        <w:jc w:val="both"/>
        <w:rPr>
          <w:sz w:val="22"/>
          <w:szCs w:val="22"/>
        </w:rPr>
      </w:pPr>
      <w:r w:rsidRPr="003C715F">
        <w:rPr>
          <w:sz w:val="22"/>
          <w:szCs w:val="22"/>
        </w:rPr>
        <w:t>Due to the complexities inherent to fund and reserve accounts with the “cash backing” provided for in the Fund Segment and the movement analysed through the Statement of Changes in Net Asset, National Treasury would not recommend that municipalities make use of the “general provision” to add further detail</w:t>
      </w:r>
      <w:r w:rsidR="00EB4616" w:rsidRPr="003C715F">
        <w:rPr>
          <w:sz w:val="22"/>
          <w:szCs w:val="22"/>
        </w:rPr>
        <w:t>,</w:t>
      </w:r>
      <w:r w:rsidRPr="003C715F">
        <w:rPr>
          <w:sz w:val="22"/>
          <w:szCs w:val="22"/>
        </w:rPr>
        <w:t xml:space="preserve"> at the discretion of municipalities.  </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010"/>
        <w:gridCol w:w="5996"/>
      </w:tblGrid>
      <w:tr w:rsidR="00AF7175" w:rsidRPr="00DA4B74" w:rsidTr="00052202">
        <w:trPr>
          <w:tblHeader/>
        </w:trPr>
        <w:tc>
          <w:tcPr>
            <w:tcW w:w="1671" w:type="pct"/>
            <w:tcBorders>
              <w:top w:val="single" w:sz="8" w:space="0" w:color="7BA0CD"/>
              <w:left w:val="single" w:sz="8" w:space="0" w:color="7BA0CD"/>
              <w:bottom w:val="single" w:sz="8" w:space="0" w:color="7BA0CD"/>
            </w:tcBorders>
            <w:shd w:val="clear" w:color="auto" w:fill="C00000"/>
          </w:tcPr>
          <w:p w:rsidR="00EB52D4" w:rsidRPr="00DA4B74" w:rsidRDefault="00EB52D4" w:rsidP="00DA4B74">
            <w:pPr>
              <w:spacing w:before="120" w:after="120" w:line="240" w:lineRule="auto"/>
              <w:jc w:val="both"/>
              <w:rPr>
                <w:b/>
                <w:bCs/>
                <w:color w:val="FFFFFF"/>
                <w:sz w:val="22"/>
              </w:rPr>
            </w:pPr>
            <w:r w:rsidRPr="00DA4B74">
              <w:rPr>
                <w:b/>
                <w:bCs/>
                <w:color w:val="FFFFFF"/>
                <w:sz w:val="22"/>
              </w:rPr>
              <w:t>Description</w:t>
            </w:r>
          </w:p>
        </w:tc>
        <w:tc>
          <w:tcPr>
            <w:tcW w:w="3329" w:type="pct"/>
            <w:tcBorders>
              <w:top w:val="single" w:sz="8" w:space="0" w:color="7BA0CD"/>
              <w:bottom w:val="single" w:sz="8" w:space="0" w:color="7BA0CD"/>
              <w:right w:val="single" w:sz="8" w:space="0" w:color="7BA0CD"/>
            </w:tcBorders>
            <w:shd w:val="clear" w:color="auto" w:fill="C00000"/>
          </w:tcPr>
          <w:p w:rsidR="00EB52D4" w:rsidRPr="00DA4B74" w:rsidRDefault="00EB52D4" w:rsidP="00DA4B74">
            <w:pPr>
              <w:spacing w:before="120" w:after="120" w:line="240" w:lineRule="auto"/>
              <w:jc w:val="both"/>
              <w:rPr>
                <w:b/>
                <w:bCs/>
                <w:color w:val="FFFFFF"/>
                <w:sz w:val="22"/>
              </w:rPr>
            </w:pPr>
            <w:r w:rsidRPr="00DA4B74">
              <w:rPr>
                <w:b/>
                <w:bCs/>
                <w:color w:val="FFFFFF"/>
                <w:sz w:val="22"/>
              </w:rPr>
              <w:t>Explanation of Reserve or Fund</w:t>
            </w:r>
          </w:p>
        </w:tc>
      </w:tr>
      <w:tr w:rsidR="00862876" w:rsidRPr="00DA4B74" w:rsidTr="00052202">
        <w:tc>
          <w:tcPr>
            <w:tcW w:w="5000" w:type="pct"/>
            <w:gridSpan w:val="2"/>
            <w:shd w:val="clear" w:color="auto" w:fill="D9D9D9" w:themeFill="background1" w:themeFillShade="D9"/>
          </w:tcPr>
          <w:p w:rsidR="00862876" w:rsidRPr="00DA4B74" w:rsidRDefault="0047597F" w:rsidP="00DA4B74">
            <w:pPr>
              <w:spacing w:before="120" w:after="120" w:line="240" w:lineRule="auto"/>
              <w:jc w:val="both"/>
              <w:rPr>
                <w:rFonts w:cs="Arial"/>
                <w:b/>
                <w:bCs/>
                <w:sz w:val="22"/>
              </w:rPr>
            </w:pPr>
            <w:r w:rsidRPr="00DA4B74">
              <w:rPr>
                <w:rFonts w:cs="Arial"/>
                <w:b/>
                <w:bCs/>
                <w:sz w:val="22"/>
              </w:rPr>
              <w:t xml:space="preserve">Capital Replacement </w:t>
            </w:r>
            <w:r w:rsidR="00F3199B" w:rsidRPr="00DA4B74">
              <w:rPr>
                <w:rFonts w:cs="Arial"/>
                <w:b/>
                <w:bCs/>
                <w:sz w:val="22"/>
              </w:rPr>
              <w:t>Reserve [</w:t>
            </w:r>
            <w:r w:rsidR="00EB52D4" w:rsidRPr="00DA4B74">
              <w:rPr>
                <w:rFonts w:cs="Arial"/>
                <w:b/>
                <w:bCs/>
                <w:sz w:val="22"/>
              </w:rPr>
              <w:t>mSCOA Reference:  bb73c819-0d38-44f5-a61f-f86e343781bc]</w:t>
            </w:r>
          </w:p>
        </w:tc>
      </w:tr>
      <w:tr w:rsidR="00EB52D4" w:rsidRPr="00DA4B74" w:rsidTr="00DA4B74">
        <w:tc>
          <w:tcPr>
            <w:tcW w:w="1671" w:type="pct"/>
            <w:tcBorders>
              <w:right w:val="nil"/>
            </w:tcBorders>
            <w:shd w:val="clear" w:color="auto" w:fill="auto"/>
          </w:tcPr>
          <w:p w:rsidR="00EB52D4" w:rsidRPr="00DA4B74" w:rsidRDefault="00EB52D4" w:rsidP="00DA4B74">
            <w:pPr>
              <w:spacing w:before="120" w:after="120" w:line="240" w:lineRule="auto"/>
              <w:jc w:val="both"/>
              <w:rPr>
                <w:bCs/>
                <w:sz w:val="22"/>
              </w:rPr>
            </w:pPr>
            <w:r w:rsidRPr="00DA4B74">
              <w:rPr>
                <w:bCs/>
                <w:sz w:val="22"/>
              </w:rPr>
              <w:t>Need to be supported by a Financial Standard Operating Procedure</w:t>
            </w:r>
            <w:r w:rsidRPr="00DA4B74">
              <w:rPr>
                <w:rStyle w:val="FootnoteReference"/>
                <w:bCs/>
                <w:sz w:val="22"/>
              </w:rPr>
              <w:footnoteReference w:id="3"/>
            </w:r>
          </w:p>
        </w:tc>
        <w:tc>
          <w:tcPr>
            <w:tcW w:w="3329" w:type="pct"/>
            <w:tcBorders>
              <w:left w:val="nil"/>
            </w:tcBorders>
            <w:shd w:val="clear" w:color="auto" w:fill="auto"/>
          </w:tcPr>
          <w:p w:rsidR="00EB52D4" w:rsidRPr="00DA4B74" w:rsidRDefault="00EB52D4" w:rsidP="00DA4B74">
            <w:pPr>
              <w:spacing w:before="120" w:after="120" w:line="240" w:lineRule="auto"/>
              <w:jc w:val="both"/>
              <w:rPr>
                <w:sz w:val="22"/>
              </w:rPr>
            </w:pPr>
            <w:r w:rsidRPr="00DA4B74">
              <w:rPr>
                <w:sz w:val="22"/>
              </w:rPr>
              <w:t>The purpose of the Capital Replacement Reserve is to set aside funds for financing property, plant and equipment.  This reserve is therefore a</w:t>
            </w:r>
            <w:r w:rsidR="004358E5" w:rsidRPr="00DA4B74">
              <w:rPr>
                <w:sz w:val="22"/>
              </w:rPr>
              <w:t>n</w:t>
            </w:r>
            <w:r w:rsidRPr="00DA4B74">
              <w:rPr>
                <w:sz w:val="22"/>
              </w:rPr>
              <w:t xml:space="preserve"> “asset financing source</w:t>
            </w:r>
            <w:r w:rsidR="00541FD2" w:rsidRPr="00DA4B74">
              <w:rPr>
                <w:sz w:val="22"/>
              </w:rPr>
              <w:t>”</w:t>
            </w:r>
            <w:r w:rsidRPr="00DA4B74">
              <w:rPr>
                <w:sz w:val="22"/>
              </w:rPr>
              <w:t xml:space="preserve"> that represents an alternative to other funding source</w:t>
            </w:r>
            <w:r w:rsidR="004358E5" w:rsidRPr="00DA4B74">
              <w:rPr>
                <w:sz w:val="22"/>
              </w:rPr>
              <w:t>s</w:t>
            </w:r>
            <w:r w:rsidRPr="00DA4B74">
              <w:rPr>
                <w:sz w:val="22"/>
              </w:rPr>
              <w:t xml:space="preserve"> available to the municipality namely external loans (interest bearing borrowings)</w:t>
            </w:r>
            <w:r w:rsidR="004358E5" w:rsidRPr="00DA4B74">
              <w:rPr>
                <w:sz w:val="22"/>
              </w:rPr>
              <w:t>;</w:t>
            </w:r>
            <w:r w:rsidRPr="00DA4B74">
              <w:rPr>
                <w:sz w:val="22"/>
              </w:rPr>
              <w:t xml:space="preserve"> and</w:t>
            </w:r>
            <w:r w:rsidR="004358E5" w:rsidRPr="00DA4B74">
              <w:rPr>
                <w:sz w:val="22"/>
              </w:rPr>
              <w:t>,</w:t>
            </w:r>
            <w:r w:rsidRPr="00DA4B74">
              <w:rPr>
                <w:sz w:val="22"/>
              </w:rPr>
              <w:t xml:space="preserve"> transfers and subsidies.</w:t>
            </w:r>
          </w:p>
          <w:p w:rsidR="00EB52D4" w:rsidRPr="00DA4B74" w:rsidRDefault="00EB52D4" w:rsidP="00DA4B74">
            <w:pPr>
              <w:spacing w:before="120" w:after="120" w:line="240" w:lineRule="auto"/>
              <w:jc w:val="both"/>
              <w:rPr>
                <w:sz w:val="22"/>
              </w:rPr>
            </w:pPr>
            <w:r w:rsidRPr="00DA4B74">
              <w:rPr>
                <w:sz w:val="22"/>
              </w:rPr>
              <w:t>The balance on the Capital Replacement Reserve is always represented by cash.</w:t>
            </w:r>
          </w:p>
        </w:tc>
      </w:tr>
      <w:tr w:rsidR="000C1C4D" w:rsidRPr="00DA4B74" w:rsidTr="00052202">
        <w:tc>
          <w:tcPr>
            <w:tcW w:w="5000" w:type="pct"/>
            <w:gridSpan w:val="2"/>
            <w:shd w:val="clear" w:color="auto" w:fill="D9D9D9" w:themeFill="background1" w:themeFillShade="D9"/>
          </w:tcPr>
          <w:p w:rsidR="000C1C4D" w:rsidRPr="00DA4B74" w:rsidRDefault="000C1C4D" w:rsidP="00DA4B74">
            <w:pPr>
              <w:spacing w:before="120" w:after="120" w:line="240" w:lineRule="auto"/>
              <w:jc w:val="both"/>
              <w:rPr>
                <w:rFonts w:cs="Arial"/>
                <w:b/>
                <w:bCs/>
                <w:sz w:val="22"/>
              </w:rPr>
            </w:pPr>
            <w:r w:rsidRPr="00DA4B74">
              <w:rPr>
                <w:rFonts w:cs="Arial"/>
                <w:b/>
                <w:bCs/>
                <w:sz w:val="22"/>
              </w:rPr>
              <w:t xml:space="preserve">Government Grants Reserve and Public Contributions </w:t>
            </w:r>
            <w:r w:rsidR="00F3199B" w:rsidRPr="00DA4B74">
              <w:rPr>
                <w:rFonts w:cs="Arial"/>
                <w:b/>
                <w:bCs/>
                <w:sz w:val="22"/>
              </w:rPr>
              <w:t>Reserve [</w:t>
            </w:r>
            <w:r w:rsidR="00EB52D4" w:rsidRPr="00DA4B74">
              <w:rPr>
                <w:rFonts w:cs="Arial"/>
                <w:b/>
                <w:bCs/>
                <w:sz w:val="22"/>
              </w:rPr>
              <w:t xml:space="preserve">mSCOA Reference:  </w:t>
            </w:r>
            <w:r w:rsidR="00EB52D4" w:rsidRPr="00DA4B74">
              <w:rPr>
                <w:b/>
                <w:bCs/>
                <w:sz w:val="22"/>
              </w:rPr>
              <w:t>Not provided for in mSCOA with Funds and Reserves.  Refer to Revenue for Transfers and Subsidies Received</w:t>
            </w:r>
            <w:r w:rsidR="000762BB" w:rsidRPr="00DA4B74">
              <w:rPr>
                <w:b/>
                <w:bCs/>
                <w:sz w:val="22"/>
              </w:rPr>
              <w:t>;</w:t>
            </w:r>
            <w:r w:rsidR="00EB52D4" w:rsidRPr="00DA4B74">
              <w:rPr>
                <w:b/>
                <w:bCs/>
                <w:sz w:val="22"/>
              </w:rPr>
              <w:t xml:space="preserve"> and</w:t>
            </w:r>
            <w:r w:rsidR="00AA6EE4" w:rsidRPr="00DA4B74">
              <w:rPr>
                <w:b/>
                <w:bCs/>
                <w:sz w:val="22"/>
              </w:rPr>
              <w:t xml:space="preserve"> to</w:t>
            </w:r>
            <w:r w:rsidR="00EB52D4" w:rsidRPr="00DA4B74">
              <w:rPr>
                <w:b/>
                <w:bCs/>
                <w:sz w:val="22"/>
              </w:rPr>
              <w:t xml:space="preserve"> Current Liabilities for Receivables/Unspent Transfers and Receivables]</w:t>
            </w:r>
          </w:p>
        </w:tc>
      </w:tr>
      <w:tr w:rsidR="00EB52D4" w:rsidRPr="00DA4B74" w:rsidTr="00DA4B74">
        <w:tc>
          <w:tcPr>
            <w:tcW w:w="5000" w:type="pct"/>
            <w:gridSpan w:val="2"/>
            <w:shd w:val="clear" w:color="auto" w:fill="auto"/>
          </w:tcPr>
          <w:p w:rsidR="00EB52D4" w:rsidRPr="00DA4B74" w:rsidRDefault="00EB52D4" w:rsidP="00DA4B74">
            <w:pPr>
              <w:spacing w:before="120" w:after="120" w:line="240" w:lineRule="auto"/>
              <w:jc w:val="both"/>
              <w:rPr>
                <w:bCs/>
                <w:sz w:val="22"/>
              </w:rPr>
            </w:pPr>
            <w:r w:rsidRPr="00DA4B74">
              <w:rPr>
                <w:sz w:val="22"/>
              </w:rPr>
              <w:t xml:space="preserve">Municipalities falling under the modified GRAP, GAMAP &amp; GAAP basis of accounting </w:t>
            </w:r>
            <w:r w:rsidRPr="00DA4B74">
              <w:rPr>
                <w:bCs/>
                <w:sz w:val="22"/>
              </w:rPr>
              <w:t xml:space="preserve">were allowed an accounting policy choice between the principles in GAMAP 9 and the principles in IAS 20 for the year ended 30 June 2007.  Municipalities that chose to account for government grants related to non-current assets in accordance with GAMAP 9 created a Government Grant Reserve and Donations and Public Contributions Reserve on the face of the Statement of Financial Position.  Since fund accounting is not allowed in terms of GRAP / GAMAP / GAAP, municipalities are no longer allowed to account for a Government Grant Reserve and Donations and Public Contributions Reserve in the Statement of Changes in Net Assets.  </w:t>
            </w:r>
          </w:p>
          <w:p w:rsidR="00EB52D4" w:rsidRPr="00DA4B74" w:rsidRDefault="00EB52D4" w:rsidP="00DA4B74">
            <w:pPr>
              <w:spacing w:before="120" w:after="120" w:line="240" w:lineRule="auto"/>
              <w:jc w:val="both"/>
              <w:rPr>
                <w:bCs/>
                <w:sz w:val="22"/>
              </w:rPr>
            </w:pPr>
            <w:r w:rsidRPr="00DA4B74">
              <w:rPr>
                <w:bCs/>
                <w:sz w:val="22"/>
              </w:rPr>
              <w:t xml:space="preserve">Government grants related to a non-current asset with a useful life must be presented in the statement of financial position as deferred income that is recognised as income on a systematic and rational basis over the useful life of the asset. </w:t>
            </w:r>
          </w:p>
          <w:p w:rsidR="00EB52D4" w:rsidRPr="00DA4B74" w:rsidRDefault="00EB52D4" w:rsidP="00DA4B74">
            <w:pPr>
              <w:spacing w:before="120" w:after="120" w:line="240" w:lineRule="auto"/>
              <w:jc w:val="both"/>
              <w:rPr>
                <w:bCs/>
                <w:sz w:val="22"/>
              </w:rPr>
            </w:pPr>
            <w:r w:rsidRPr="00DA4B74">
              <w:rPr>
                <w:bCs/>
                <w:sz w:val="22"/>
              </w:rPr>
              <w:t xml:space="preserve">The Standards of GRAP 23 on Non-exchange Revenue provide guidance on the recognition of transfers, </w:t>
            </w:r>
            <w:r w:rsidRPr="00DA4B74">
              <w:rPr>
                <w:iCs/>
                <w:sz w:val="22"/>
              </w:rPr>
              <w:t>covering periods beginning on or after 1 April 2015.</w:t>
            </w:r>
          </w:p>
        </w:tc>
      </w:tr>
      <w:tr w:rsidR="00FF2A3C" w:rsidRPr="00DA4B74" w:rsidTr="00052202">
        <w:tc>
          <w:tcPr>
            <w:tcW w:w="5000" w:type="pct"/>
            <w:gridSpan w:val="2"/>
            <w:shd w:val="clear" w:color="auto" w:fill="D9D9D9" w:themeFill="background1" w:themeFillShade="D9"/>
          </w:tcPr>
          <w:p w:rsidR="00FF2A3C" w:rsidRPr="00DA4B74" w:rsidRDefault="00FF2A3C" w:rsidP="00DA4B74">
            <w:pPr>
              <w:spacing w:before="120" w:after="120" w:line="240" w:lineRule="auto"/>
              <w:jc w:val="both"/>
              <w:rPr>
                <w:rFonts w:cs="Arial"/>
                <w:b/>
                <w:bCs/>
                <w:sz w:val="22"/>
              </w:rPr>
            </w:pPr>
            <w:r w:rsidRPr="00DA4B74">
              <w:rPr>
                <w:rFonts w:cs="Arial"/>
                <w:b/>
                <w:bCs/>
                <w:sz w:val="22"/>
              </w:rPr>
              <w:t xml:space="preserve">Housing Development </w:t>
            </w:r>
            <w:r w:rsidR="00F3199B" w:rsidRPr="00DA4B74">
              <w:rPr>
                <w:rFonts w:cs="Arial"/>
                <w:b/>
                <w:bCs/>
                <w:sz w:val="22"/>
              </w:rPr>
              <w:t>Fund [</w:t>
            </w:r>
            <w:r w:rsidR="00EB52D4" w:rsidRPr="00DA4B74">
              <w:rPr>
                <w:rFonts w:cs="Arial"/>
                <w:b/>
                <w:bCs/>
                <w:sz w:val="22"/>
              </w:rPr>
              <w:t>mSCOA Reference:  8c8a64bd-49e0-449d-9826-282b1a1f5efc]</w:t>
            </w:r>
          </w:p>
        </w:tc>
      </w:tr>
      <w:tr w:rsidR="00EB52D4" w:rsidRPr="00DA4B74" w:rsidTr="00DA4B74">
        <w:tc>
          <w:tcPr>
            <w:tcW w:w="1671" w:type="pct"/>
            <w:tcBorders>
              <w:right w:val="nil"/>
            </w:tcBorders>
            <w:shd w:val="clear" w:color="auto" w:fill="auto"/>
          </w:tcPr>
          <w:p w:rsidR="00EB52D4" w:rsidRPr="00DA4B74" w:rsidRDefault="00EB52D4" w:rsidP="00DA4B74">
            <w:pPr>
              <w:spacing w:before="120" w:after="120" w:line="240" w:lineRule="auto"/>
              <w:jc w:val="both"/>
              <w:rPr>
                <w:bCs/>
                <w:sz w:val="22"/>
              </w:rPr>
            </w:pPr>
            <w:r w:rsidRPr="00DA4B74">
              <w:rPr>
                <w:bCs/>
                <w:sz w:val="22"/>
              </w:rPr>
              <w:t>The Housing Development fund was established in terms of the Housing Act, (Act No 107 of 1997).  Loans from national and provincial government used to finance housing selling schemes undertaken by the Municipality were extinguished on 1 April 1998 and transferred to a Housing Development Fund. Housing selling schemes both complete and in progress as at 1 April 1998, were also transferred to the Housing Development Fund</w:t>
            </w:r>
          </w:p>
        </w:tc>
        <w:tc>
          <w:tcPr>
            <w:tcW w:w="3329" w:type="pct"/>
            <w:tcBorders>
              <w:left w:val="nil"/>
            </w:tcBorders>
            <w:shd w:val="clear" w:color="auto" w:fill="auto"/>
          </w:tcPr>
          <w:p w:rsidR="00EB52D4" w:rsidRPr="00DA4B74" w:rsidRDefault="00EB52D4" w:rsidP="00DA4B74">
            <w:pPr>
              <w:spacing w:before="120" w:after="120" w:line="240" w:lineRule="auto"/>
              <w:jc w:val="both"/>
              <w:rPr>
                <w:sz w:val="22"/>
              </w:rPr>
            </w:pPr>
            <w:r w:rsidRPr="00DA4B74">
              <w:rPr>
                <w:sz w:val="22"/>
              </w:rPr>
              <w:t xml:space="preserve">In terms of the Housing Act, all proceeds from housing developments which include rental income and sale of houses must be paid into the Housing Development Fund. Monies standing to credit </w:t>
            </w:r>
            <w:r w:rsidR="004B6D90" w:rsidRPr="00DA4B74">
              <w:rPr>
                <w:sz w:val="22"/>
              </w:rPr>
              <w:t xml:space="preserve">off </w:t>
            </w:r>
            <w:r w:rsidRPr="00DA4B74">
              <w:rPr>
                <w:sz w:val="22"/>
              </w:rPr>
              <w:t>the Housing Development Fund can be used only to finance housing developments within the municipal areas subject to the approval of the Provincial MEC responsible for housing.  It should be noted that the Housing operating account is included in the Statement of Financial Performance.  The net result of the Housing Operating Account is then transferred from/to the accumulated surplus</w:t>
            </w:r>
            <w:proofErr w:type="gramStart"/>
            <w:r w:rsidRPr="00DA4B74">
              <w:rPr>
                <w:sz w:val="22"/>
              </w:rPr>
              <w:t>/(</w:t>
            </w:r>
            <w:proofErr w:type="gramEnd"/>
            <w:r w:rsidRPr="00DA4B74">
              <w:rPr>
                <w:sz w:val="22"/>
              </w:rPr>
              <w:t xml:space="preserve">deficit).  Note that since the HDF was established in terms of legislation it may be reported separately in the statement of financial position and the statement of changes in net assets.  The accumulated fund of the HDF includes the following:  </w:t>
            </w:r>
          </w:p>
          <w:p w:rsidR="00EB52D4" w:rsidRPr="00DA4B74" w:rsidRDefault="00EB52D4" w:rsidP="00DA4B74">
            <w:pPr>
              <w:pStyle w:val="ListParagraph"/>
              <w:numPr>
                <w:ilvl w:val="0"/>
                <w:numId w:val="37"/>
              </w:numPr>
              <w:jc w:val="both"/>
              <w:rPr>
                <w:rFonts w:cs="Arial"/>
                <w:sz w:val="22"/>
                <w:szCs w:val="22"/>
              </w:rPr>
            </w:pPr>
            <w:r w:rsidRPr="00DA4B74">
              <w:rPr>
                <w:sz w:val="22"/>
                <w:szCs w:val="22"/>
              </w:rPr>
              <w:t xml:space="preserve">Accumulated surplus/(deficit) </w:t>
            </w:r>
          </w:p>
          <w:p w:rsidR="00EB52D4" w:rsidRPr="00DA4B74" w:rsidRDefault="00EB52D4" w:rsidP="00DA4B74">
            <w:pPr>
              <w:pStyle w:val="ListParagraph"/>
              <w:numPr>
                <w:ilvl w:val="0"/>
                <w:numId w:val="37"/>
              </w:numPr>
              <w:jc w:val="both"/>
              <w:rPr>
                <w:rFonts w:cs="Arial"/>
                <w:sz w:val="22"/>
                <w:szCs w:val="22"/>
              </w:rPr>
            </w:pPr>
            <w:r w:rsidRPr="00DA4B74">
              <w:rPr>
                <w:sz w:val="22"/>
                <w:szCs w:val="22"/>
              </w:rPr>
              <w:t>Loans extinguished on 1 April 1999</w:t>
            </w:r>
          </w:p>
        </w:tc>
      </w:tr>
      <w:tr w:rsidR="004B033B" w:rsidRPr="00DA4B74" w:rsidTr="00052202">
        <w:tc>
          <w:tcPr>
            <w:tcW w:w="5000" w:type="pct"/>
            <w:gridSpan w:val="2"/>
            <w:shd w:val="clear" w:color="auto" w:fill="D9D9D9" w:themeFill="background1" w:themeFillShade="D9"/>
            <w:vAlign w:val="center"/>
          </w:tcPr>
          <w:p w:rsidR="004B033B" w:rsidRPr="00DA4B74" w:rsidRDefault="00E815D9" w:rsidP="00DA4B74">
            <w:pPr>
              <w:spacing w:before="120" w:after="120" w:line="240" w:lineRule="auto"/>
              <w:jc w:val="both"/>
              <w:rPr>
                <w:rFonts w:cs="Arial"/>
                <w:b/>
                <w:bCs/>
                <w:sz w:val="22"/>
              </w:rPr>
            </w:pPr>
            <w:r w:rsidRPr="00DA4B74">
              <w:rPr>
                <w:rFonts w:cs="Arial"/>
                <w:b/>
                <w:bCs/>
                <w:sz w:val="22"/>
              </w:rPr>
              <w:t xml:space="preserve">Self-insurance </w:t>
            </w:r>
            <w:r w:rsidR="00F3199B" w:rsidRPr="00DA4B74">
              <w:rPr>
                <w:rFonts w:cs="Arial"/>
                <w:b/>
                <w:bCs/>
                <w:sz w:val="22"/>
              </w:rPr>
              <w:t>Reserve [</w:t>
            </w:r>
            <w:r w:rsidR="00EB52D4" w:rsidRPr="00DA4B74">
              <w:rPr>
                <w:rFonts w:cs="Arial"/>
                <w:b/>
                <w:bCs/>
                <w:sz w:val="22"/>
              </w:rPr>
              <w:t>mSCOA Reference:  769093d0-e06b-44</w:t>
            </w:r>
            <w:r w:rsidR="00EB52D4" w:rsidRPr="00DA4B74">
              <w:rPr>
                <w:rFonts w:cs="Arial"/>
                <w:b/>
                <w:bCs/>
                <w:sz w:val="22"/>
                <w:vertAlign w:val="superscript"/>
              </w:rPr>
              <w:t>2</w:t>
            </w:r>
            <w:r w:rsidR="00EB52D4" w:rsidRPr="00DA4B74">
              <w:rPr>
                <w:rFonts w:cs="Arial"/>
                <w:b/>
                <w:bCs/>
                <w:sz w:val="22"/>
              </w:rPr>
              <w:t>1-87d6-58411c7b911a]</w:t>
            </w:r>
          </w:p>
        </w:tc>
      </w:tr>
      <w:tr w:rsidR="00EB52D4" w:rsidRPr="00DA4B74" w:rsidTr="00DA4B74">
        <w:tc>
          <w:tcPr>
            <w:tcW w:w="1671" w:type="pct"/>
            <w:tcBorders>
              <w:right w:val="nil"/>
            </w:tcBorders>
            <w:shd w:val="clear" w:color="auto" w:fill="auto"/>
          </w:tcPr>
          <w:p w:rsidR="00EB52D4" w:rsidRPr="00DA4B74" w:rsidRDefault="00EB52D4" w:rsidP="00DA4B74">
            <w:pPr>
              <w:spacing w:before="120" w:after="120" w:line="240" w:lineRule="auto"/>
              <w:jc w:val="both"/>
              <w:rPr>
                <w:bCs/>
                <w:sz w:val="22"/>
              </w:rPr>
            </w:pPr>
            <w:r w:rsidRPr="00DA4B74">
              <w:rPr>
                <w:bCs/>
                <w:sz w:val="22"/>
              </w:rPr>
              <w:t xml:space="preserve">Municipalities have Self-Insurance Reserves to set aside amounts to offset potential losses or claims that cannot be insured externally. </w:t>
            </w:r>
          </w:p>
          <w:p w:rsidR="006C72ED" w:rsidRPr="00DA4B74" w:rsidRDefault="006C72ED" w:rsidP="00DA4B74">
            <w:pPr>
              <w:spacing w:before="120" w:after="120" w:line="240" w:lineRule="auto"/>
              <w:jc w:val="both"/>
              <w:rPr>
                <w:bCs/>
                <w:sz w:val="22"/>
              </w:rPr>
            </w:pPr>
            <w:r w:rsidRPr="00DA4B74">
              <w:rPr>
                <w:bCs/>
                <w:sz w:val="22"/>
              </w:rPr>
              <w:t>The balance of the Self-Insurance Reserve is determined based on insurance risk carried by the municipality and past claims history and</w:t>
            </w:r>
            <w:r w:rsidR="00B00F1D" w:rsidRPr="00DA4B74">
              <w:rPr>
                <w:bCs/>
                <w:sz w:val="22"/>
              </w:rPr>
              <w:t>,</w:t>
            </w:r>
            <w:r w:rsidRPr="00DA4B74">
              <w:rPr>
                <w:bCs/>
                <w:sz w:val="22"/>
              </w:rPr>
              <w:t xml:space="preserve"> is increased by a transfer from the accumulated surplus</w:t>
            </w:r>
            <w:proofErr w:type="gramStart"/>
            <w:r w:rsidRPr="00DA4B74">
              <w:rPr>
                <w:bCs/>
                <w:sz w:val="22"/>
              </w:rPr>
              <w:t>/(</w:t>
            </w:r>
            <w:proofErr w:type="gramEnd"/>
            <w:r w:rsidRPr="00DA4B74">
              <w:rPr>
                <w:bCs/>
                <w:sz w:val="22"/>
              </w:rPr>
              <w:t xml:space="preserve">deficit).  </w:t>
            </w:r>
          </w:p>
        </w:tc>
        <w:tc>
          <w:tcPr>
            <w:tcW w:w="3329" w:type="pct"/>
            <w:tcBorders>
              <w:left w:val="nil"/>
            </w:tcBorders>
            <w:shd w:val="clear" w:color="auto" w:fill="auto"/>
          </w:tcPr>
          <w:p w:rsidR="00EB52D4" w:rsidRPr="00DA4B74" w:rsidRDefault="00EB52D4" w:rsidP="00DA4B74">
            <w:pPr>
              <w:spacing w:before="120" w:after="120" w:line="240" w:lineRule="auto"/>
              <w:jc w:val="both"/>
              <w:rPr>
                <w:sz w:val="22"/>
              </w:rPr>
            </w:pPr>
            <w:r w:rsidRPr="00DA4B74">
              <w:rPr>
                <w:sz w:val="22"/>
              </w:rPr>
              <w:t xml:space="preserve">Claims are settled by transferring a corresponding amount from the self-insurance reserve to the accumulated surplus.  </w:t>
            </w:r>
          </w:p>
          <w:p w:rsidR="00EB52D4" w:rsidRPr="00DA4B74" w:rsidRDefault="00EB52D4" w:rsidP="00DA4B74">
            <w:pPr>
              <w:spacing w:before="120" w:after="120" w:line="240" w:lineRule="auto"/>
              <w:jc w:val="both"/>
              <w:rPr>
                <w:sz w:val="22"/>
              </w:rPr>
            </w:pPr>
            <w:r w:rsidRPr="00DA4B74">
              <w:rPr>
                <w:sz w:val="22"/>
              </w:rPr>
              <w:t xml:space="preserve">This reserve must be cash-backed to effectively </w:t>
            </w:r>
            <w:r w:rsidR="00C429DE" w:rsidRPr="00DA4B74">
              <w:rPr>
                <w:sz w:val="22"/>
              </w:rPr>
              <w:t xml:space="preserve">manage </w:t>
            </w:r>
            <w:r w:rsidRPr="00DA4B74">
              <w:rPr>
                <w:sz w:val="22"/>
              </w:rPr>
              <w:t xml:space="preserve">claims.  </w:t>
            </w:r>
          </w:p>
          <w:p w:rsidR="00EB52D4" w:rsidRPr="00DA4B74" w:rsidRDefault="00EB52D4" w:rsidP="00DA4B74">
            <w:pPr>
              <w:spacing w:before="120" w:after="120" w:line="240" w:lineRule="auto"/>
              <w:jc w:val="both"/>
              <w:rPr>
                <w:rFonts w:cs="Arial"/>
                <w:sz w:val="22"/>
              </w:rPr>
            </w:pPr>
            <w:r w:rsidRPr="00DA4B74">
              <w:rPr>
                <w:color w:val="000000"/>
                <w:sz w:val="22"/>
              </w:rPr>
              <w:t xml:space="preserve">GRAP 1.111 requires the presentation in the statement of changes in net assets or in the notes of: 1) the </w:t>
            </w:r>
            <w:r w:rsidRPr="00DA4B74">
              <w:rPr>
                <w:b/>
                <w:bCs/>
                <w:color w:val="000000"/>
                <w:sz w:val="22"/>
              </w:rPr>
              <w:t xml:space="preserve">balance </w:t>
            </w:r>
            <w:r w:rsidRPr="00DA4B74">
              <w:rPr>
                <w:color w:val="000000"/>
                <w:sz w:val="22"/>
              </w:rPr>
              <w:t xml:space="preserve">of accumulated surpluses or deficits at the beginning of the period and at the reporting date, and the </w:t>
            </w:r>
            <w:r w:rsidRPr="00DA4B74">
              <w:rPr>
                <w:b/>
                <w:bCs/>
                <w:color w:val="000000"/>
                <w:sz w:val="22"/>
              </w:rPr>
              <w:t xml:space="preserve">changes </w:t>
            </w:r>
            <w:r w:rsidRPr="00DA4B74">
              <w:rPr>
                <w:color w:val="000000"/>
                <w:sz w:val="22"/>
              </w:rPr>
              <w:t xml:space="preserve">during the period; and 2) to the extent that components of net assets are separately disclosed, a </w:t>
            </w:r>
            <w:r w:rsidRPr="00DA4B74">
              <w:rPr>
                <w:b/>
                <w:bCs/>
                <w:color w:val="000000"/>
                <w:sz w:val="22"/>
              </w:rPr>
              <w:t xml:space="preserve">reconciliation </w:t>
            </w:r>
            <w:r w:rsidRPr="00DA4B74">
              <w:rPr>
                <w:color w:val="000000"/>
                <w:sz w:val="22"/>
              </w:rPr>
              <w:t>between the carrying amount of each component of net assets and each reserve at the beginning and the end of the period, separately disclosing each change.</w:t>
            </w:r>
          </w:p>
        </w:tc>
      </w:tr>
      <w:tr w:rsidR="00055409" w:rsidRPr="00DA4B74" w:rsidTr="00052202">
        <w:tc>
          <w:tcPr>
            <w:tcW w:w="5000" w:type="pct"/>
            <w:gridSpan w:val="2"/>
            <w:shd w:val="clear" w:color="auto" w:fill="D9D9D9" w:themeFill="background1" w:themeFillShade="D9"/>
          </w:tcPr>
          <w:p w:rsidR="00055409" w:rsidRPr="00DA4B74" w:rsidRDefault="00055409" w:rsidP="00DA4B74">
            <w:pPr>
              <w:spacing w:before="120" w:after="120" w:line="240" w:lineRule="auto"/>
              <w:jc w:val="both"/>
              <w:rPr>
                <w:rFonts w:cs="Arial"/>
                <w:b/>
                <w:bCs/>
                <w:sz w:val="22"/>
              </w:rPr>
            </w:pPr>
            <w:r w:rsidRPr="00DA4B74">
              <w:rPr>
                <w:rFonts w:cs="Arial"/>
                <w:b/>
                <w:bCs/>
                <w:sz w:val="22"/>
              </w:rPr>
              <w:t>Capitalisation Reserve</w:t>
            </w:r>
            <w:r w:rsidR="00077E03" w:rsidRPr="00DA4B74">
              <w:rPr>
                <w:rFonts w:cs="Arial"/>
                <w:b/>
                <w:bCs/>
                <w:sz w:val="22"/>
              </w:rPr>
              <w:t xml:space="preserve"> [mSCOA Reference:  Outstanding]</w:t>
            </w:r>
          </w:p>
        </w:tc>
      </w:tr>
      <w:tr w:rsidR="00F04562" w:rsidRPr="00DA4B74" w:rsidTr="00DA4B74">
        <w:tc>
          <w:tcPr>
            <w:tcW w:w="1671" w:type="pct"/>
            <w:tcBorders>
              <w:right w:val="nil"/>
            </w:tcBorders>
            <w:shd w:val="clear" w:color="auto" w:fill="auto"/>
          </w:tcPr>
          <w:p w:rsidR="00F04562" w:rsidRPr="00DA4B74" w:rsidRDefault="00F04562" w:rsidP="00DA4B74">
            <w:pPr>
              <w:spacing w:before="120" w:after="120" w:line="240" w:lineRule="auto"/>
              <w:jc w:val="both"/>
              <w:rPr>
                <w:bCs/>
                <w:sz w:val="22"/>
              </w:rPr>
            </w:pPr>
            <w:r w:rsidRPr="00DA4B74">
              <w:rPr>
                <w:bCs/>
                <w:sz w:val="22"/>
              </w:rPr>
              <w:t xml:space="preserve">The Capitalisation Reserve represents amounts previously accumulated that were recovered from consumers through rates and tariffs and that have been used to acquire items of Property, Plant and Equipment.  </w:t>
            </w:r>
          </w:p>
          <w:p w:rsidR="00F04562" w:rsidRPr="00DA4B74" w:rsidRDefault="00F04562" w:rsidP="00DA4B74">
            <w:pPr>
              <w:spacing w:before="120" w:after="120" w:line="240" w:lineRule="auto"/>
              <w:jc w:val="both"/>
              <w:rPr>
                <w:bCs/>
                <w:sz w:val="22"/>
              </w:rPr>
            </w:pPr>
            <w:r w:rsidRPr="00DA4B74">
              <w:rPr>
                <w:bCs/>
                <w:sz w:val="22"/>
              </w:rPr>
              <w:t xml:space="preserve">These amounts are therefore not available to be used for any other purpose. </w:t>
            </w:r>
          </w:p>
        </w:tc>
        <w:tc>
          <w:tcPr>
            <w:tcW w:w="3329" w:type="pct"/>
            <w:tcBorders>
              <w:left w:val="nil"/>
            </w:tcBorders>
            <w:shd w:val="clear" w:color="auto" w:fill="auto"/>
          </w:tcPr>
          <w:p w:rsidR="006C72ED" w:rsidRPr="00DA4B74" w:rsidRDefault="006C72ED" w:rsidP="00DA4B74">
            <w:pPr>
              <w:spacing w:before="120" w:after="120" w:line="240" w:lineRule="auto"/>
              <w:jc w:val="both"/>
              <w:rPr>
                <w:color w:val="000000"/>
                <w:sz w:val="22"/>
              </w:rPr>
            </w:pPr>
            <w:r w:rsidRPr="00DA4B74">
              <w:rPr>
                <w:sz w:val="22"/>
              </w:rPr>
              <w:t>This Reserve aims to promote consumer equity by ensuring that consumers are not subject to double taxation when the items of property, plant and equipment acquired through internal loans are depreciated on the introduction of standards.</w:t>
            </w:r>
          </w:p>
          <w:p w:rsidR="00F04562" w:rsidRPr="00DA4B74" w:rsidRDefault="006C72ED" w:rsidP="00DA4B74">
            <w:pPr>
              <w:spacing w:before="120" w:after="120" w:line="240" w:lineRule="auto"/>
              <w:jc w:val="both"/>
              <w:rPr>
                <w:rFonts w:cs="Arial"/>
                <w:sz w:val="22"/>
              </w:rPr>
            </w:pPr>
            <w:r w:rsidRPr="00DA4B74">
              <w:rPr>
                <w:color w:val="000000"/>
                <w:sz w:val="22"/>
              </w:rPr>
              <w:t xml:space="preserve">GRAP 1.111 requires the presentation in the statement of changes in net assets or in the notes of: 1) the </w:t>
            </w:r>
            <w:r w:rsidRPr="00DA4B74">
              <w:rPr>
                <w:b/>
                <w:bCs/>
                <w:color w:val="000000"/>
                <w:sz w:val="22"/>
              </w:rPr>
              <w:t xml:space="preserve">balance </w:t>
            </w:r>
            <w:r w:rsidRPr="00DA4B74">
              <w:rPr>
                <w:color w:val="000000"/>
                <w:sz w:val="22"/>
              </w:rPr>
              <w:t xml:space="preserve">of accumulated surpluses or deficits at the beginning of the period and at the reporting date, and the </w:t>
            </w:r>
            <w:r w:rsidRPr="00DA4B74">
              <w:rPr>
                <w:b/>
                <w:bCs/>
                <w:color w:val="000000"/>
                <w:sz w:val="22"/>
              </w:rPr>
              <w:t xml:space="preserve">changes </w:t>
            </w:r>
            <w:r w:rsidRPr="00DA4B74">
              <w:rPr>
                <w:color w:val="000000"/>
                <w:sz w:val="22"/>
              </w:rPr>
              <w:t xml:space="preserve">during the period; and 2) to the extent that components of net assets are separately disclosed, a </w:t>
            </w:r>
            <w:r w:rsidRPr="00DA4B74">
              <w:rPr>
                <w:b/>
                <w:bCs/>
                <w:color w:val="000000"/>
                <w:sz w:val="22"/>
              </w:rPr>
              <w:t xml:space="preserve">reconciliation </w:t>
            </w:r>
            <w:r w:rsidRPr="00DA4B74">
              <w:rPr>
                <w:color w:val="000000"/>
                <w:sz w:val="22"/>
              </w:rPr>
              <w:t>between the carrying amount of each component of net assets and each reserve at the beginning and the end of the period, separately disclosing each change.</w:t>
            </w:r>
          </w:p>
        </w:tc>
      </w:tr>
      <w:tr w:rsidR="00DA1A91" w:rsidRPr="00DA4B74" w:rsidTr="00052202">
        <w:tc>
          <w:tcPr>
            <w:tcW w:w="5000" w:type="pct"/>
            <w:gridSpan w:val="2"/>
            <w:shd w:val="clear" w:color="auto" w:fill="D9D9D9" w:themeFill="background1" w:themeFillShade="D9"/>
          </w:tcPr>
          <w:p w:rsidR="00DA1A91" w:rsidRPr="00DA4B74" w:rsidRDefault="00DA1A91" w:rsidP="00DA4B74">
            <w:pPr>
              <w:spacing w:before="120" w:after="120" w:line="240" w:lineRule="auto"/>
              <w:jc w:val="both"/>
              <w:rPr>
                <w:b/>
                <w:bCs/>
                <w:color w:val="000000"/>
                <w:sz w:val="22"/>
              </w:rPr>
            </w:pPr>
            <w:r w:rsidRPr="00DA4B74">
              <w:rPr>
                <w:b/>
                <w:bCs/>
                <w:sz w:val="22"/>
              </w:rPr>
              <w:t xml:space="preserve">Compensation for Occupational Injuries and Diseases [mSCOA Reference:  </w:t>
            </w:r>
            <w:r w:rsidRPr="00DA4B74">
              <w:rPr>
                <w:rFonts w:cs="Arial"/>
                <w:b/>
                <w:bCs/>
                <w:sz w:val="22"/>
              </w:rPr>
              <w:t>4799999c-c540-4d89-aee5-89b0fa2d4110]</w:t>
            </w:r>
          </w:p>
        </w:tc>
      </w:tr>
      <w:tr w:rsidR="00DA1A91" w:rsidRPr="00DA4B74" w:rsidTr="00DA4B74">
        <w:tc>
          <w:tcPr>
            <w:tcW w:w="1671" w:type="pct"/>
            <w:tcBorders>
              <w:right w:val="nil"/>
            </w:tcBorders>
            <w:shd w:val="clear" w:color="auto" w:fill="auto"/>
          </w:tcPr>
          <w:p w:rsidR="00DA1A91" w:rsidRPr="00DA4B74" w:rsidRDefault="00DA1A91" w:rsidP="00DA4B74">
            <w:pPr>
              <w:spacing w:before="120" w:after="120" w:line="240" w:lineRule="auto"/>
              <w:jc w:val="both"/>
              <w:rPr>
                <w:bCs/>
                <w:color w:val="000000"/>
                <w:sz w:val="22"/>
              </w:rPr>
            </w:pPr>
            <w:r w:rsidRPr="00DA4B74">
              <w:rPr>
                <w:bCs/>
                <w:sz w:val="22"/>
              </w:rPr>
              <w:t>The COID reserve is established for Compensation for Occupational Injuries and Diseases where permission to retain contributions has been obtained from the Compensation Commissioner.</w:t>
            </w:r>
          </w:p>
        </w:tc>
        <w:tc>
          <w:tcPr>
            <w:tcW w:w="3329" w:type="pct"/>
            <w:tcBorders>
              <w:left w:val="nil"/>
            </w:tcBorders>
            <w:shd w:val="clear" w:color="auto" w:fill="auto"/>
          </w:tcPr>
          <w:p w:rsidR="00DA1A91" w:rsidRPr="00DA4B74" w:rsidRDefault="00DA1A91" w:rsidP="00DA4B74">
            <w:pPr>
              <w:spacing w:before="120" w:after="120" w:line="240" w:lineRule="auto"/>
              <w:jc w:val="both"/>
              <w:rPr>
                <w:sz w:val="22"/>
              </w:rPr>
            </w:pPr>
            <w:r w:rsidRPr="00DA4B74">
              <w:rPr>
                <w:sz w:val="22"/>
              </w:rPr>
              <w:t>The municipality should ensure that all contributions to</w:t>
            </w:r>
            <w:r w:rsidR="00FB091B" w:rsidRPr="00DA4B74">
              <w:rPr>
                <w:sz w:val="22"/>
              </w:rPr>
              <w:t>,</w:t>
            </w:r>
            <w:r w:rsidRPr="00DA4B74">
              <w:rPr>
                <w:sz w:val="22"/>
              </w:rPr>
              <w:t xml:space="preserve"> or from the COID reserve are shown as transfers between the COID reserve and Accumulated Surplus.</w:t>
            </w:r>
          </w:p>
          <w:p w:rsidR="00DA1A91" w:rsidRPr="00DA4B74" w:rsidRDefault="00DA1A91" w:rsidP="00DA4B74">
            <w:pPr>
              <w:spacing w:before="120" w:after="120" w:line="240" w:lineRule="auto"/>
              <w:jc w:val="both"/>
              <w:rPr>
                <w:sz w:val="22"/>
              </w:rPr>
            </w:pPr>
            <w:r w:rsidRPr="00DA4B74">
              <w:rPr>
                <w:sz w:val="22"/>
              </w:rPr>
              <w:t xml:space="preserve">GRAP 1.111 requires the presentation in the statement of changes in net assets or in the notes of: 1) the </w:t>
            </w:r>
            <w:r w:rsidRPr="00DA4B74">
              <w:rPr>
                <w:bCs/>
                <w:sz w:val="22"/>
              </w:rPr>
              <w:t xml:space="preserve">balance </w:t>
            </w:r>
            <w:r w:rsidRPr="00DA4B74">
              <w:rPr>
                <w:sz w:val="22"/>
              </w:rPr>
              <w:t xml:space="preserve">of accumulated surpluses or deficits at the beginning of the period and at the reporting date, and the </w:t>
            </w:r>
            <w:r w:rsidRPr="00DA4B74">
              <w:rPr>
                <w:bCs/>
                <w:sz w:val="22"/>
              </w:rPr>
              <w:t xml:space="preserve">changes </w:t>
            </w:r>
            <w:r w:rsidRPr="00DA4B74">
              <w:rPr>
                <w:sz w:val="22"/>
              </w:rPr>
              <w:t>during the period; and 2) to the extent that components of net assets are separately disclosed, a</w:t>
            </w:r>
            <w:r w:rsidR="00894437" w:rsidRPr="00DA4B74">
              <w:rPr>
                <w:sz w:val="22"/>
              </w:rPr>
              <w:t>s a</w:t>
            </w:r>
            <w:r w:rsidRPr="00DA4B74">
              <w:rPr>
                <w:sz w:val="22"/>
              </w:rPr>
              <w:t xml:space="preserve"> </w:t>
            </w:r>
            <w:r w:rsidRPr="00DA4B74">
              <w:rPr>
                <w:bCs/>
                <w:sz w:val="22"/>
              </w:rPr>
              <w:t xml:space="preserve">reconciliation </w:t>
            </w:r>
            <w:r w:rsidRPr="00DA4B74">
              <w:rPr>
                <w:sz w:val="22"/>
              </w:rPr>
              <w:t>between the carrying amount of each component of net assets and each reserve at the beginning and the end of the period, separately disclosing each change.</w:t>
            </w:r>
          </w:p>
        </w:tc>
      </w:tr>
      <w:tr w:rsidR="00DA1A91" w:rsidRPr="00DA4B74" w:rsidTr="00052202">
        <w:tc>
          <w:tcPr>
            <w:tcW w:w="5000" w:type="pct"/>
            <w:gridSpan w:val="2"/>
            <w:shd w:val="clear" w:color="auto" w:fill="D9D9D9" w:themeFill="background1" w:themeFillShade="D9"/>
          </w:tcPr>
          <w:p w:rsidR="00DA1A91" w:rsidRPr="00DA4B74" w:rsidRDefault="00DA1A91" w:rsidP="00DA4B74">
            <w:pPr>
              <w:spacing w:before="120" w:after="120" w:line="240" w:lineRule="auto"/>
              <w:jc w:val="both"/>
              <w:rPr>
                <w:b/>
                <w:bCs/>
                <w:sz w:val="22"/>
              </w:rPr>
            </w:pPr>
            <w:r w:rsidRPr="00DA4B74">
              <w:rPr>
                <w:b/>
                <w:bCs/>
                <w:sz w:val="22"/>
              </w:rPr>
              <w:t>Revaluation Reserve</w:t>
            </w:r>
            <w:r w:rsidR="00E04390" w:rsidRPr="00DA4B74">
              <w:rPr>
                <w:b/>
                <w:bCs/>
                <w:sz w:val="22"/>
              </w:rPr>
              <w:t xml:space="preserve"> [mSCOA Reference:  </w:t>
            </w:r>
            <w:r w:rsidR="00E04390" w:rsidRPr="00DA4B74">
              <w:rPr>
                <w:rFonts w:cs="Arial"/>
                <w:b/>
                <w:bCs/>
                <w:sz w:val="22"/>
              </w:rPr>
              <w:t>30f9a578-48dc-4a54-8a35-635f333d2c20]</w:t>
            </w:r>
          </w:p>
        </w:tc>
      </w:tr>
      <w:tr w:rsidR="00DA1A91" w:rsidRPr="00DA4B74" w:rsidTr="00DA4B74">
        <w:tc>
          <w:tcPr>
            <w:tcW w:w="1671" w:type="pct"/>
            <w:tcBorders>
              <w:right w:val="nil"/>
            </w:tcBorders>
            <w:shd w:val="clear" w:color="auto" w:fill="auto"/>
          </w:tcPr>
          <w:p w:rsidR="00DA1A91" w:rsidRPr="00DA4B74" w:rsidRDefault="00DA1A91" w:rsidP="00DA4B74">
            <w:pPr>
              <w:spacing w:before="120" w:after="120" w:line="240" w:lineRule="auto"/>
              <w:jc w:val="both"/>
              <w:rPr>
                <w:bCs/>
                <w:color w:val="000000"/>
                <w:sz w:val="22"/>
              </w:rPr>
            </w:pPr>
            <w:r w:rsidRPr="00DA4B74">
              <w:rPr>
                <w:bCs/>
                <w:sz w:val="22"/>
              </w:rPr>
              <w:t>A Revaluation Reserve is established upon revaluation of a class of Property, Plant and Equipment, Heritage Assets or Intangible Assets.</w:t>
            </w:r>
          </w:p>
        </w:tc>
        <w:tc>
          <w:tcPr>
            <w:tcW w:w="3329" w:type="pct"/>
            <w:tcBorders>
              <w:left w:val="nil"/>
            </w:tcBorders>
            <w:shd w:val="clear" w:color="auto" w:fill="auto"/>
          </w:tcPr>
          <w:p w:rsidR="002C7B29" w:rsidRPr="00DA4B74" w:rsidRDefault="002C7B29" w:rsidP="00DA4B74">
            <w:pPr>
              <w:spacing w:before="120" w:after="120" w:line="240" w:lineRule="auto"/>
              <w:jc w:val="both"/>
              <w:rPr>
                <w:sz w:val="22"/>
              </w:rPr>
            </w:pPr>
            <w:r w:rsidRPr="00DA4B74">
              <w:rPr>
                <w:sz w:val="22"/>
              </w:rPr>
              <w:t>Under the revaluation model, the difference between the revalued amount and the carrying</w:t>
            </w:r>
            <w:r w:rsidR="00E04390" w:rsidRPr="00DA4B74">
              <w:rPr>
                <w:sz w:val="22"/>
              </w:rPr>
              <w:t xml:space="preserve"> </w:t>
            </w:r>
            <w:r w:rsidRPr="00DA4B74">
              <w:rPr>
                <w:sz w:val="22"/>
              </w:rPr>
              <w:t>amount is recognised in the revaluation surplus. In the case of a reversal of an increase in</w:t>
            </w:r>
            <w:r w:rsidR="00E04390" w:rsidRPr="00DA4B74">
              <w:rPr>
                <w:sz w:val="22"/>
              </w:rPr>
              <w:t xml:space="preserve"> </w:t>
            </w:r>
            <w:r w:rsidRPr="00DA4B74">
              <w:rPr>
                <w:sz w:val="22"/>
              </w:rPr>
              <w:t>excess of the increase previously recognised in the revaluation surplus, or a reversal of a</w:t>
            </w:r>
            <w:r w:rsidR="00E04390" w:rsidRPr="00DA4B74">
              <w:rPr>
                <w:sz w:val="22"/>
              </w:rPr>
              <w:t xml:space="preserve"> </w:t>
            </w:r>
            <w:r w:rsidRPr="00DA4B74">
              <w:rPr>
                <w:sz w:val="22"/>
              </w:rPr>
              <w:t>decrease previously recognised in surplus or deficit, it will be recognised in surplus or deficit.</w:t>
            </w:r>
            <w:r w:rsidR="00E04390" w:rsidRPr="00DA4B74">
              <w:rPr>
                <w:sz w:val="22"/>
              </w:rPr>
              <w:t xml:space="preserve">  </w:t>
            </w:r>
            <w:r w:rsidRPr="00DA4B74">
              <w:rPr>
                <w:sz w:val="22"/>
              </w:rPr>
              <w:t>An amount recognised in surplus or deficit is shown as an impairment loss</w:t>
            </w:r>
            <w:r w:rsidR="00E04390" w:rsidRPr="00DA4B74">
              <w:rPr>
                <w:sz w:val="22"/>
              </w:rPr>
              <w:t>.</w:t>
            </w:r>
          </w:p>
          <w:p w:rsidR="00E04390" w:rsidRPr="00DA4B74" w:rsidRDefault="00E04390" w:rsidP="00DA4B74">
            <w:pPr>
              <w:spacing w:before="120" w:after="120" w:line="240" w:lineRule="auto"/>
              <w:jc w:val="both"/>
              <w:rPr>
                <w:sz w:val="22"/>
              </w:rPr>
            </w:pPr>
            <w:r w:rsidRPr="00DA4B74">
              <w:rPr>
                <w:sz w:val="22"/>
              </w:rPr>
              <w:t>The revaluation surplus relating to an asset will be realised over time by transferring some or the whole of the surplus to accumulated surplus or deficit, either:</w:t>
            </w:r>
          </w:p>
          <w:p w:rsidR="00E04390" w:rsidRPr="00DA4B74" w:rsidRDefault="00E04390" w:rsidP="00DA4B74">
            <w:pPr>
              <w:pStyle w:val="ListParagraph"/>
              <w:numPr>
                <w:ilvl w:val="0"/>
                <w:numId w:val="40"/>
              </w:numPr>
              <w:jc w:val="both"/>
              <w:rPr>
                <w:sz w:val="22"/>
                <w:szCs w:val="22"/>
              </w:rPr>
            </w:pPr>
            <w:r w:rsidRPr="00DA4B74">
              <w:rPr>
                <w:sz w:val="22"/>
                <w:szCs w:val="22"/>
              </w:rPr>
              <w:t>Through the use of the asset: transferring the portion as the asset to which the surplus relates to is depreciated; or</w:t>
            </w:r>
          </w:p>
          <w:p w:rsidR="00E04390" w:rsidRPr="00DA4B74" w:rsidRDefault="00E04390" w:rsidP="00DA4B74">
            <w:pPr>
              <w:pStyle w:val="ListParagraph"/>
              <w:numPr>
                <w:ilvl w:val="0"/>
                <w:numId w:val="40"/>
              </w:numPr>
              <w:jc w:val="both"/>
              <w:rPr>
                <w:sz w:val="22"/>
                <w:szCs w:val="22"/>
              </w:rPr>
            </w:pPr>
            <w:r w:rsidRPr="00DA4B74">
              <w:rPr>
                <w:sz w:val="22"/>
                <w:szCs w:val="22"/>
              </w:rPr>
              <w:t>When the asset is derecognised: transferring the portion when the asset to which the surplus relates to is disposed</w:t>
            </w:r>
            <w:r w:rsidR="00B93AE9" w:rsidRPr="00DA4B74">
              <w:rPr>
                <w:sz w:val="22"/>
                <w:szCs w:val="22"/>
              </w:rPr>
              <w:t xml:space="preserve"> of</w:t>
            </w:r>
            <w:r w:rsidRPr="00DA4B74">
              <w:rPr>
                <w:sz w:val="22"/>
                <w:szCs w:val="22"/>
              </w:rPr>
              <w:t>.</w:t>
            </w:r>
          </w:p>
          <w:p w:rsidR="00E04390" w:rsidRPr="00DA4B74" w:rsidRDefault="00E04390" w:rsidP="00DA4B74">
            <w:pPr>
              <w:spacing w:before="120" w:after="120" w:line="240" w:lineRule="auto"/>
              <w:jc w:val="both"/>
              <w:rPr>
                <w:sz w:val="22"/>
              </w:rPr>
            </w:pPr>
            <w:r w:rsidRPr="00DA4B74">
              <w:rPr>
                <w:sz w:val="22"/>
              </w:rPr>
              <w:t xml:space="preserve">The transfer of the revaluation surplus may </w:t>
            </w:r>
            <w:r w:rsidRPr="00DA4B74">
              <w:rPr>
                <w:b/>
                <w:sz w:val="22"/>
              </w:rPr>
              <w:t>never</w:t>
            </w:r>
            <w:r w:rsidRPr="00DA4B74">
              <w:rPr>
                <w:sz w:val="22"/>
              </w:rPr>
              <w:t xml:space="preserve"> go through surplus or deficit.  </w:t>
            </w:r>
            <w:r w:rsidRPr="00DA4B74">
              <w:rPr>
                <w:b/>
                <w:sz w:val="22"/>
              </w:rPr>
              <w:t>Note</w:t>
            </w:r>
            <w:r w:rsidRPr="00DA4B74">
              <w:rPr>
                <w:sz w:val="22"/>
              </w:rPr>
              <w:t xml:space="preserve"> that the option on how to treat the realisation of the revaluation surplus is an accounting policy choice, which should be applied consistently.</w:t>
            </w:r>
          </w:p>
        </w:tc>
      </w:tr>
    </w:tbl>
    <w:p w:rsidR="006858F7" w:rsidRPr="003C715F" w:rsidRDefault="006858F7" w:rsidP="00DA4B74">
      <w:pPr>
        <w:pStyle w:val="ListParagraph"/>
        <w:jc w:val="both"/>
        <w:rPr>
          <w:sz w:val="22"/>
          <w:szCs w:val="22"/>
        </w:rPr>
      </w:pPr>
      <w:r w:rsidRPr="003C715F">
        <w:rPr>
          <w:sz w:val="22"/>
          <w:szCs w:val="22"/>
        </w:rPr>
        <w:t>In</w:t>
      </w:r>
      <w:r w:rsidR="00597879" w:rsidRPr="003C715F">
        <w:rPr>
          <w:sz w:val="22"/>
          <w:szCs w:val="22"/>
        </w:rPr>
        <w:t>cluded, in</w:t>
      </w:r>
      <w:r w:rsidRPr="003C715F">
        <w:rPr>
          <w:sz w:val="22"/>
          <w:szCs w:val="22"/>
        </w:rPr>
        <w:t xml:space="preserve"> addition to the above Funds and Reserve</w:t>
      </w:r>
      <w:r w:rsidR="00597879" w:rsidRPr="003C715F">
        <w:rPr>
          <w:sz w:val="22"/>
          <w:szCs w:val="22"/>
        </w:rPr>
        <w:t>,</w:t>
      </w:r>
      <w:r w:rsidRPr="003C715F">
        <w:rPr>
          <w:sz w:val="22"/>
          <w:szCs w:val="22"/>
        </w:rPr>
        <w:t xml:space="preserve"> based on specific requests made by municipalities</w:t>
      </w:r>
      <w:r w:rsidR="00934066" w:rsidRPr="003C715F">
        <w:rPr>
          <w:sz w:val="22"/>
          <w:szCs w:val="22"/>
        </w:rPr>
        <w:t>,</w:t>
      </w:r>
      <w:r w:rsidRPr="003C715F">
        <w:rPr>
          <w:sz w:val="22"/>
          <w:szCs w:val="22"/>
        </w:rPr>
        <w:t xml:space="preserve"> supplemented by a Financial Standard Operating Procedure for the management of the specific fund</w:t>
      </w:r>
      <w:r w:rsidR="00934066" w:rsidRPr="003C715F">
        <w:rPr>
          <w:sz w:val="22"/>
          <w:szCs w:val="22"/>
        </w:rPr>
        <w:t>;</w:t>
      </w:r>
      <w:r w:rsidRPr="003C715F">
        <w:rPr>
          <w:sz w:val="22"/>
          <w:szCs w:val="22"/>
        </w:rPr>
        <w:t xml:space="preserve"> and</w:t>
      </w:r>
      <w:r w:rsidR="00934066" w:rsidRPr="003C715F">
        <w:rPr>
          <w:sz w:val="22"/>
          <w:szCs w:val="22"/>
        </w:rPr>
        <w:t>,</w:t>
      </w:r>
      <w:r w:rsidRPr="003C715F">
        <w:rPr>
          <w:sz w:val="22"/>
          <w:szCs w:val="22"/>
        </w:rPr>
        <w:t xml:space="preserve"> maintenance of the cash backing for the fund or reserve account</w:t>
      </w:r>
      <w:r w:rsidR="00597879" w:rsidRPr="003C715F">
        <w:rPr>
          <w:sz w:val="22"/>
          <w:szCs w:val="22"/>
        </w:rPr>
        <w:t xml:space="preserve"> are</w:t>
      </w:r>
      <w:r w:rsidRPr="003C715F">
        <w:rPr>
          <w:sz w:val="22"/>
          <w:szCs w:val="22"/>
        </w:rPr>
        <w:t>:</w:t>
      </w:r>
    </w:p>
    <w:p w:rsidR="006858F7" w:rsidRPr="003C715F" w:rsidRDefault="006858F7" w:rsidP="00DA4B74">
      <w:pPr>
        <w:pStyle w:val="BulletLevelParagraph"/>
        <w:rPr>
          <w:sz w:val="22"/>
          <w:szCs w:val="22"/>
        </w:rPr>
      </w:pPr>
      <w:r w:rsidRPr="003C715F">
        <w:rPr>
          <w:sz w:val="22"/>
          <w:szCs w:val="22"/>
        </w:rPr>
        <w:t xml:space="preserve">Employee Benefit Reserve – [1f5618e6-cba4-4387-a546-21fd9b61397c] </w:t>
      </w:r>
      <w:proofErr w:type="gramStart"/>
      <w:r w:rsidRPr="003C715F">
        <w:rPr>
          <w:sz w:val="22"/>
          <w:szCs w:val="22"/>
        </w:rPr>
        <w:t>The</w:t>
      </w:r>
      <w:proofErr w:type="gramEnd"/>
      <w:r w:rsidRPr="003C715F">
        <w:rPr>
          <w:sz w:val="22"/>
          <w:szCs w:val="22"/>
        </w:rPr>
        <w:t xml:space="preserve"> aim to the reserve is to ensure sufficient cash resources are available for the future payment of employee benefits.  The contributions to the reserve must be made in accordance with the directives set in a funding and reserve policy.</w:t>
      </w:r>
    </w:p>
    <w:p w:rsidR="00214480" w:rsidRPr="003C715F" w:rsidRDefault="00214480" w:rsidP="00DA4B74">
      <w:pPr>
        <w:pStyle w:val="BulletLevelParagraph"/>
        <w:rPr>
          <w:sz w:val="22"/>
          <w:szCs w:val="22"/>
        </w:rPr>
      </w:pPr>
      <w:r w:rsidRPr="003C715F">
        <w:rPr>
          <w:sz w:val="22"/>
          <w:szCs w:val="22"/>
        </w:rPr>
        <w:t xml:space="preserve">Non-current Provisions Reserve – [380676ac-7e39-4ffb-b4ce-ee66339fdde1] </w:t>
      </w:r>
      <w:proofErr w:type="gramStart"/>
      <w:r w:rsidRPr="003C715F">
        <w:rPr>
          <w:i/>
          <w:sz w:val="22"/>
          <w:szCs w:val="22"/>
        </w:rPr>
        <w:t>The</w:t>
      </w:r>
      <w:proofErr w:type="gramEnd"/>
      <w:r w:rsidRPr="003C715F">
        <w:rPr>
          <w:i/>
          <w:sz w:val="22"/>
          <w:szCs w:val="22"/>
        </w:rPr>
        <w:t xml:space="preserve"> aim to the reserve is to ensure sufficient cash resources are available for the future payment of non-current provisions.</w:t>
      </w:r>
      <w:r w:rsidRPr="003C715F">
        <w:rPr>
          <w:sz w:val="22"/>
          <w:szCs w:val="22"/>
        </w:rPr>
        <w:t xml:space="preserve">  The contributions to the reserve must be made in accordance with the directives set in a funding and reserve policy.</w:t>
      </w:r>
    </w:p>
    <w:p w:rsidR="00D47A6B" w:rsidRPr="003C715F" w:rsidRDefault="00D47A6B" w:rsidP="00DA4B74">
      <w:pPr>
        <w:pStyle w:val="BulletLevelParagraph"/>
        <w:rPr>
          <w:sz w:val="22"/>
          <w:szCs w:val="22"/>
        </w:rPr>
      </w:pPr>
      <w:r w:rsidRPr="003C715F">
        <w:rPr>
          <w:sz w:val="22"/>
          <w:szCs w:val="22"/>
        </w:rPr>
        <w:t>Valuation Reserve – [d3b1d697-fc8b-4dd6-8e73-8772e3878b40] - The aim to the reserve is to ensure sufficient cash resources are available to undertake a general valuation as required in terms of the Municipal Property Rates Act, No 6 of 2004.  The contributions to the reserve must be made in accordance with the directives set in a funding and reserve policy.</w:t>
      </w:r>
    </w:p>
    <w:p w:rsidR="00796AD0" w:rsidRPr="00695A56" w:rsidRDefault="00796AD0" w:rsidP="00695A56">
      <w:pPr>
        <w:pStyle w:val="Heading2"/>
        <w:spacing w:before="200" w:after="0" w:line="276" w:lineRule="auto"/>
        <w:rPr>
          <w:rFonts w:ascii="Arial" w:hAnsi="Arial" w:cs="Arial"/>
          <w:color w:val="auto"/>
          <w:sz w:val="24"/>
          <w:szCs w:val="24"/>
        </w:rPr>
      </w:pPr>
      <w:bookmarkStart w:id="12" w:name="_Toc456353325"/>
      <w:bookmarkStart w:id="13" w:name="_Toc466034839"/>
      <w:r w:rsidRPr="00695A56">
        <w:rPr>
          <w:rFonts w:ascii="Arial" w:hAnsi="Arial" w:cs="Arial"/>
          <w:color w:val="auto"/>
          <w:sz w:val="24"/>
          <w:szCs w:val="24"/>
        </w:rPr>
        <w:t>NATIONAL TREASURY DOCUMENTS TO BE REVISED FOLLOWING THE ADOPTION OF THIS POSITION PAPER</w:t>
      </w:r>
      <w:bookmarkEnd w:id="12"/>
      <w:bookmarkEnd w:id="13"/>
    </w:p>
    <w:p w:rsidR="00796AD0" w:rsidRPr="003C715F" w:rsidRDefault="0049275C" w:rsidP="00DA4B74">
      <w:pPr>
        <w:pStyle w:val="ListParagraph"/>
        <w:jc w:val="both"/>
        <w:rPr>
          <w:sz w:val="22"/>
          <w:szCs w:val="22"/>
        </w:rPr>
      </w:pPr>
      <w:r w:rsidRPr="0049275C">
        <w:t xml:space="preserve">The following Guidance issued by National Treasury need to be </w:t>
      </w:r>
      <w:r>
        <w:t xml:space="preserve">revised </w:t>
      </w:r>
      <w:r w:rsidR="003B6940">
        <w:t xml:space="preserve">and </w:t>
      </w:r>
      <w:r>
        <w:t>indicate</w:t>
      </w:r>
      <w:r w:rsidR="003B6940">
        <w:t>d</w:t>
      </w:r>
      <w:r>
        <w:t xml:space="preserve"> in a</w:t>
      </w:r>
      <w:r w:rsidR="00DF12C4">
        <w:t>n</w:t>
      </w:r>
      <w:r>
        <w:t xml:space="preserve"> mSCOA Circular that </w:t>
      </w:r>
      <w:r w:rsidR="003B6940">
        <w:t xml:space="preserve">had </w:t>
      </w:r>
      <w:r>
        <w:t xml:space="preserve">been replaced by the National Treasury Standards </w:t>
      </w:r>
      <w:r w:rsidR="00DF12C4">
        <w:t>in the</w:t>
      </w:r>
      <w:r w:rsidRPr="003C715F">
        <w:rPr>
          <w:sz w:val="22"/>
          <w:szCs w:val="22"/>
        </w:rPr>
        <w:t xml:space="preserve"> GRAP</w:t>
      </w:r>
      <w:r w:rsidR="008926C7" w:rsidRPr="003C715F">
        <w:rPr>
          <w:sz w:val="22"/>
          <w:szCs w:val="22"/>
        </w:rPr>
        <w:t xml:space="preserve"> 1</w:t>
      </w:r>
      <w:r w:rsidRPr="003C715F">
        <w:rPr>
          <w:sz w:val="22"/>
          <w:szCs w:val="22"/>
        </w:rPr>
        <w:t xml:space="preserve"> Implementation Guide on </w:t>
      </w:r>
      <w:r w:rsidR="008926C7" w:rsidRPr="003C715F">
        <w:rPr>
          <w:sz w:val="22"/>
          <w:szCs w:val="22"/>
        </w:rPr>
        <w:t>Presentation of Financial Statements</w:t>
      </w:r>
      <w:r w:rsidR="009908E7" w:rsidRPr="003C715F">
        <w:rPr>
          <w:sz w:val="22"/>
          <w:szCs w:val="22"/>
        </w:rPr>
        <w:t>:</w:t>
      </w:r>
    </w:p>
    <w:p w:rsidR="008926C7" w:rsidRPr="003C715F" w:rsidRDefault="008926C7" w:rsidP="00DA4B74">
      <w:pPr>
        <w:pStyle w:val="BulletLevelParagraph"/>
        <w:rPr>
          <w:sz w:val="22"/>
          <w:szCs w:val="22"/>
        </w:rPr>
      </w:pPr>
      <w:r w:rsidRPr="003C715F">
        <w:rPr>
          <w:sz w:val="22"/>
          <w:szCs w:val="22"/>
        </w:rPr>
        <w:t>Guideline for the Implementation of Accounting Standards of Generally Recognised Accounting Practice – May 2004</w:t>
      </w:r>
    </w:p>
    <w:p w:rsidR="008926C7" w:rsidRPr="003C715F" w:rsidRDefault="008926C7" w:rsidP="00DA4B74">
      <w:pPr>
        <w:pStyle w:val="BulletLevelParagraph"/>
        <w:rPr>
          <w:sz w:val="22"/>
          <w:szCs w:val="22"/>
        </w:rPr>
      </w:pPr>
      <w:r w:rsidRPr="003C715F">
        <w:rPr>
          <w:sz w:val="22"/>
          <w:szCs w:val="22"/>
        </w:rPr>
        <w:t>MFMA Circular No 18 – Implementation of New Accounting Standards and Format of Annual Financial Statements – 22 June 2005</w:t>
      </w:r>
    </w:p>
    <w:p w:rsidR="008926C7" w:rsidRPr="003C715F" w:rsidRDefault="008926C7" w:rsidP="00DA4B74">
      <w:pPr>
        <w:pStyle w:val="BulletLevelParagraph"/>
        <w:rPr>
          <w:sz w:val="22"/>
          <w:szCs w:val="22"/>
        </w:rPr>
      </w:pPr>
      <w:r w:rsidRPr="003C715F">
        <w:rPr>
          <w:sz w:val="22"/>
          <w:szCs w:val="22"/>
        </w:rPr>
        <w:t>GRAP Implementation Guide for Municipalities – September 2008</w:t>
      </w:r>
    </w:p>
    <w:p w:rsidR="008926C7" w:rsidRPr="003C715F" w:rsidRDefault="008926C7" w:rsidP="00DA4B74">
      <w:pPr>
        <w:pStyle w:val="ListParagraph"/>
        <w:jc w:val="both"/>
        <w:rPr>
          <w:sz w:val="22"/>
          <w:szCs w:val="22"/>
        </w:rPr>
      </w:pPr>
      <w:r w:rsidRPr="003C715F">
        <w:rPr>
          <w:sz w:val="22"/>
          <w:szCs w:val="22"/>
        </w:rPr>
        <w:t>Budget Reporting Tables and In-year Reporting considerations:</w:t>
      </w:r>
    </w:p>
    <w:p w:rsidR="008926C7" w:rsidRDefault="003E4031" w:rsidP="00DA4B74">
      <w:pPr>
        <w:pStyle w:val="BulletParagraphs"/>
        <w:numPr>
          <w:ilvl w:val="0"/>
          <w:numId w:val="44"/>
        </w:numPr>
        <w:jc w:val="both"/>
      </w:pPr>
      <w:r>
        <w:t>A8:  Cash Backed Reserves/Accumulated Surplus Reconciliation</w:t>
      </w:r>
    </w:p>
    <w:p w:rsidR="003E4031" w:rsidRPr="00616BED" w:rsidRDefault="003E4031" w:rsidP="00DA4B74">
      <w:pPr>
        <w:pStyle w:val="BulletParagraphs"/>
        <w:numPr>
          <w:ilvl w:val="0"/>
          <w:numId w:val="44"/>
        </w:numPr>
        <w:jc w:val="both"/>
      </w:pPr>
      <w:r>
        <w:t xml:space="preserve">SA3:  Supporting </w:t>
      </w:r>
      <w:r w:rsidRPr="00616BED">
        <w:t>Detail to Budget Financial Position</w:t>
      </w:r>
    </w:p>
    <w:p w:rsidR="003E4031" w:rsidRPr="00695A56" w:rsidRDefault="003E4031" w:rsidP="00695A56">
      <w:pPr>
        <w:pStyle w:val="Heading2"/>
        <w:spacing w:before="200" w:after="0" w:line="276" w:lineRule="auto"/>
        <w:rPr>
          <w:rFonts w:ascii="Arial" w:hAnsi="Arial" w:cs="Arial"/>
          <w:color w:val="auto"/>
          <w:sz w:val="24"/>
          <w:szCs w:val="24"/>
        </w:rPr>
      </w:pPr>
      <w:bookmarkStart w:id="14" w:name="_Toc456353328"/>
      <w:bookmarkStart w:id="15" w:name="_Toc466034840"/>
      <w:r w:rsidRPr="00695A56">
        <w:rPr>
          <w:rFonts w:ascii="Arial" w:hAnsi="Arial" w:cs="Arial"/>
          <w:color w:val="auto"/>
          <w:sz w:val="24"/>
          <w:szCs w:val="24"/>
        </w:rPr>
        <w:t>CONCLUSION</w:t>
      </w:r>
      <w:bookmarkEnd w:id="15"/>
    </w:p>
    <w:p w:rsidR="003E4031" w:rsidRPr="003C715F" w:rsidRDefault="003E4031" w:rsidP="00DA4B74">
      <w:pPr>
        <w:pStyle w:val="ListParagraph"/>
        <w:jc w:val="both"/>
        <w:rPr>
          <w:sz w:val="22"/>
          <w:szCs w:val="22"/>
        </w:rPr>
      </w:pPr>
      <w:r w:rsidRPr="003C715F">
        <w:rPr>
          <w:sz w:val="22"/>
          <w:szCs w:val="22"/>
        </w:rPr>
        <w:t xml:space="preserve">Municipalities should preferably not make use of Reserves and Funds within its accounting structures, except </w:t>
      </w:r>
      <w:r w:rsidR="002A12AE" w:rsidRPr="003C715F">
        <w:rPr>
          <w:sz w:val="22"/>
          <w:szCs w:val="22"/>
        </w:rPr>
        <w:t xml:space="preserve">for </w:t>
      </w:r>
      <w:r w:rsidRPr="003C715F">
        <w:rPr>
          <w:sz w:val="22"/>
          <w:szCs w:val="22"/>
        </w:rPr>
        <w:t>those defined in paragraph 34.</w:t>
      </w:r>
    </w:p>
    <w:p w:rsidR="003E4031" w:rsidRPr="003C715F" w:rsidRDefault="003E4031" w:rsidP="00DA4B74">
      <w:pPr>
        <w:pStyle w:val="ListParagraph"/>
        <w:jc w:val="both"/>
        <w:rPr>
          <w:sz w:val="22"/>
          <w:szCs w:val="22"/>
        </w:rPr>
      </w:pPr>
      <w:r w:rsidRPr="003C715F">
        <w:rPr>
          <w:sz w:val="22"/>
          <w:szCs w:val="22"/>
        </w:rPr>
        <w:t xml:space="preserve">However, if a municipality does elect to allocate surplus funds for future use, the following principles must be adhered to: </w:t>
      </w:r>
    </w:p>
    <w:p w:rsidR="003E4031" w:rsidRPr="003C715F" w:rsidRDefault="003E4031" w:rsidP="00DA4B74">
      <w:pPr>
        <w:pStyle w:val="BulletLevelParagraph"/>
        <w:rPr>
          <w:sz w:val="22"/>
          <w:szCs w:val="22"/>
        </w:rPr>
      </w:pPr>
      <w:r w:rsidRPr="003C715F">
        <w:rPr>
          <w:sz w:val="22"/>
          <w:szCs w:val="22"/>
        </w:rPr>
        <w:t xml:space="preserve">A policy on the reserve must be approved by council, including the reasons for the reserve, the funding arrangements, </w:t>
      </w:r>
      <w:proofErr w:type="gramStart"/>
      <w:r w:rsidRPr="003C715F">
        <w:rPr>
          <w:sz w:val="22"/>
          <w:szCs w:val="22"/>
        </w:rPr>
        <w:t>the</w:t>
      </w:r>
      <w:proofErr w:type="gramEnd"/>
      <w:r w:rsidRPr="003C715F">
        <w:rPr>
          <w:sz w:val="22"/>
          <w:szCs w:val="22"/>
        </w:rPr>
        <w:t xml:space="preserve"> utilisation requirements of the reserve and disclosure of the reserves in the financial statements.  A copy of the Council approved policy must be attached to the request made to National Treasury for adding further Fund and Reserve accounts to the mSCOA Classification Framework.</w:t>
      </w:r>
    </w:p>
    <w:p w:rsidR="003E4031" w:rsidRPr="003C715F" w:rsidRDefault="003E4031" w:rsidP="00DA4B74">
      <w:pPr>
        <w:pStyle w:val="BulletLevelParagraph"/>
        <w:rPr>
          <w:sz w:val="22"/>
          <w:szCs w:val="22"/>
        </w:rPr>
      </w:pPr>
      <w:r w:rsidRPr="003C715F">
        <w:rPr>
          <w:sz w:val="22"/>
          <w:szCs w:val="22"/>
        </w:rPr>
        <w:t xml:space="preserve">The reserves must be managed according to the Council approved cash management policy of the municipality.  If the reserve is not cash backed, the municipality must document how it will ensure that the reserve is funded.  </w:t>
      </w:r>
    </w:p>
    <w:p w:rsidR="003E4031" w:rsidRPr="003C715F" w:rsidRDefault="003E4031" w:rsidP="00DA4B74">
      <w:pPr>
        <w:pStyle w:val="BulletLevelParagraph"/>
        <w:rPr>
          <w:sz w:val="22"/>
          <w:szCs w:val="22"/>
        </w:rPr>
      </w:pPr>
      <w:r w:rsidRPr="003C715F">
        <w:rPr>
          <w:sz w:val="22"/>
          <w:szCs w:val="22"/>
        </w:rPr>
        <w:t xml:space="preserve">Cash-backing is a conditional requirement for making a request to National Treasury </w:t>
      </w:r>
      <w:r w:rsidR="002A12AE">
        <w:rPr>
          <w:sz w:val="22"/>
          <w:szCs w:val="22"/>
        </w:rPr>
        <w:t>to add the</w:t>
      </w:r>
      <w:r w:rsidRPr="003C715F">
        <w:rPr>
          <w:sz w:val="22"/>
          <w:szCs w:val="22"/>
        </w:rPr>
        <w:t xml:space="preserve"> Reserve and Fund Accounts to the mSCOA Classification Framework.  </w:t>
      </w:r>
    </w:p>
    <w:p w:rsidR="003E4031" w:rsidRPr="003C715F" w:rsidRDefault="0098391F" w:rsidP="00DA4B74">
      <w:pPr>
        <w:pStyle w:val="BulletLevelParagraph"/>
        <w:rPr>
          <w:sz w:val="22"/>
          <w:szCs w:val="22"/>
        </w:rPr>
      </w:pPr>
      <w:r w:rsidRPr="003C715F">
        <w:rPr>
          <w:sz w:val="22"/>
          <w:szCs w:val="22"/>
        </w:rPr>
        <w:t>When the Reserve or Fund has been established by legislation (such as the Housing Development Fund) a</w:t>
      </w:r>
      <w:r w:rsidR="003E4031" w:rsidRPr="003C715F">
        <w:rPr>
          <w:sz w:val="22"/>
          <w:szCs w:val="22"/>
        </w:rPr>
        <w:t>ny entries to</w:t>
      </w:r>
      <w:r w:rsidRPr="003C715F">
        <w:rPr>
          <w:sz w:val="22"/>
          <w:szCs w:val="22"/>
        </w:rPr>
        <w:t>-</w:t>
      </w:r>
      <w:r w:rsidR="003E4031" w:rsidRPr="003C715F">
        <w:rPr>
          <w:sz w:val="22"/>
          <w:szCs w:val="22"/>
        </w:rPr>
        <w:t xml:space="preserve"> and from the reserves must be done either in the municipalities general ledger as a component of Accumulated Surplus (for example the Capitalisation Reserve</w:t>
      </w:r>
      <w:r w:rsidR="002A12AE" w:rsidRPr="002A12AE">
        <w:rPr>
          <w:sz w:val="22"/>
          <w:szCs w:val="22"/>
        </w:rPr>
        <w:t>;</w:t>
      </w:r>
      <w:r w:rsidR="003E4031" w:rsidRPr="003C715F">
        <w:rPr>
          <w:sz w:val="22"/>
          <w:szCs w:val="22"/>
        </w:rPr>
        <w:t xml:space="preserve"> the Capital Replacement Reserve</w:t>
      </w:r>
      <w:r w:rsidR="002A12AE" w:rsidRPr="003C715F">
        <w:rPr>
          <w:sz w:val="22"/>
          <w:szCs w:val="22"/>
        </w:rPr>
        <w:t>;</w:t>
      </w:r>
      <w:r w:rsidR="003E4031" w:rsidRPr="003C715F">
        <w:rPr>
          <w:sz w:val="22"/>
          <w:szCs w:val="22"/>
        </w:rPr>
        <w:t xml:space="preserve"> COID</w:t>
      </w:r>
      <w:r w:rsidR="002A12AE" w:rsidRPr="003C715F">
        <w:rPr>
          <w:sz w:val="22"/>
          <w:szCs w:val="22"/>
        </w:rPr>
        <w:t>;</w:t>
      </w:r>
      <w:r w:rsidR="003E4031" w:rsidRPr="003C715F">
        <w:rPr>
          <w:sz w:val="22"/>
          <w:szCs w:val="22"/>
        </w:rPr>
        <w:t xml:space="preserve"> and</w:t>
      </w:r>
      <w:r w:rsidR="002A12AE" w:rsidRPr="003C715F">
        <w:rPr>
          <w:sz w:val="22"/>
          <w:szCs w:val="22"/>
        </w:rPr>
        <w:t>,</w:t>
      </w:r>
      <w:r w:rsidR="003E4031" w:rsidRPr="003C715F">
        <w:rPr>
          <w:sz w:val="22"/>
          <w:szCs w:val="22"/>
        </w:rPr>
        <w:t xml:space="preserve"> Self</w:t>
      </w:r>
      <w:r w:rsidR="002A12AE" w:rsidRPr="003C715F">
        <w:rPr>
          <w:sz w:val="22"/>
          <w:szCs w:val="22"/>
        </w:rPr>
        <w:t>-</w:t>
      </w:r>
      <w:r w:rsidR="003E4031" w:rsidRPr="003C715F">
        <w:rPr>
          <w:sz w:val="22"/>
          <w:szCs w:val="22"/>
        </w:rPr>
        <w:t>Insurance Reserve)</w:t>
      </w:r>
      <w:r w:rsidR="002A12AE" w:rsidRPr="003C715F">
        <w:rPr>
          <w:sz w:val="22"/>
          <w:szCs w:val="22"/>
        </w:rPr>
        <w:t>;</w:t>
      </w:r>
      <w:r w:rsidR="003E4031" w:rsidRPr="003C715F">
        <w:rPr>
          <w:sz w:val="22"/>
          <w:szCs w:val="22"/>
        </w:rPr>
        <w:t xml:space="preserve"> or</w:t>
      </w:r>
      <w:r w:rsidR="002A12AE" w:rsidRPr="003C715F">
        <w:rPr>
          <w:sz w:val="22"/>
          <w:szCs w:val="22"/>
        </w:rPr>
        <w:t>,</w:t>
      </w:r>
      <w:r w:rsidR="003E4031" w:rsidRPr="003C715F">
        <w:rPr>
          <w:sz w:val="22"/>
          <w:szCs w:val="22"/>
        </w:rPr>
        <w:t xml:space="preserve"> as a Transfer in the Statement of Changes in Net Assets</w:t>
      </w:r>
      <w:r w:rsidRPr="003C715F">
        <w:rPr>
          <w:sz w:val="22"/>
          <w:szCs w:val="22"/>
        </w:rPr>
        <w:t>.</w:t>
      </w:r>
    </w:p>
    <w:p w:rsidR="003E4031" w:rsidRPr="003C715F" w:rsidRDefault="003E4031" w:rsidP="00DA4B74">
      <w:pPr>
        <w:pStyle w:val="BulletLevelParagraph"/>
        <w:rPr>
          <w:sz w:val="22"/>
          <w:szCs w:val="22"/>
        </w:rPr>
      </w:pPr>
      <w:r w:rsidRPr="003C715F">
        <w:rPr>
          <w:sz w:val="22"/>
          <w:szCs w:val="22"/>
        </w:rPr>
        <w:t>Disclosure of the components of Accumulated Surplus for internal use must be provided as a note to the financial statements, as budgeting decisions, setting of tariffs and other economic decisions are made on the funds.  This should replicate the disclosure requirements of GRAP 1 Paragraph 112.</w:t>
      </w:r>
    </w:p>
    <w:p w:rsidR="00796AD0" w:rsidRPr="00695A56" w:rsidRDefault="00796AD0" w:rsidP="00695A56">
      <w:pPr>
        <w:pStyle w:val="Heading2"/>
        <w:spacing w:before="200" w:after="0" w:line="276" w:lineRule="auto"/>
        <w:rPr>
          <w:rFonts w:ascii="Arial" w:hAnsi="Arial" w:cs="Arial"/>
          <w:color w:val="auto"/>
          <w:sz w:val="24"/>
          <w:szCs w:val="24"/>
        </w:rPr>
      </w:pPr>
      <w:bookmarkStart w:id="16" w:name="_Toc456353329"/>
      <w:bookmarkStart w:id="17" w:name="_Toc466034841"/>
      <w:bookmarkEnd w:id="14"/>
      <w:r w:rsidRPr="00695A56">
        <w:rPr>
          <w:rFonts w:ascii="Arial" w:hAnsi="Arial" w:cs="Arial"/>
          <w:color w:val="auto"/>
          <w:sz w:val="24"/>
          <w:szCs w:val="24"/>
        </w:rPr>
        <w:t>RECOMMENDATION</w:t>
      </w:r>
      <w:bookmarkEnd w:id="17"/>
      <w:r w:rsidRPr="00695A56">
        <w:rPr>
          <w:rFonts w:ascii="Arial" w:hAnsi="Arial" w:cs="Arial"/>
          <w:color w:val="auto"/>
          <w:sz w:val="24"/>
          <w:szCs w:val="24"/>
        </w:rPr>
        <w:t xml:space="preserve"> </w:t>
      </w:r>
      <w:bookmarkEnd w:id="16"/>
    </w:p>
    <w:p w:rsidR="00796AD0" w:rsidRPr="003C715F" w:rsidRDefault="00796AD0" w:rsidP="00DA4B74">
      <w:pPr>
        <w:pStyle w:val="ListParagraph"/>
        <w:jc w:val="both"/>
        <w:rPr>
          <w:sz w:val="22"/>
          <w:szCs w:val="22"/>
        </w:rPr>
      </w:pPr>
      <w:r w:rsidRPr="003C715F">
        <w:rPr>
          <w:sz w:val="22"/>
          <w:szCs w:val="22"/>
        </w:rPr>
        <w:t>The mSCOA Project Steering Committee to note:</w:t>
      </w:r>
    </w:p>
    <w:p w:rsidR="00796AD0" w:rsidRPr="003C715F" w:rsidRDefault="00796AD0" w:rsidP="00DA4B74">
      <w:pPr>
        <w:pStyle w:val="BulletLevelParagraph"/>
        <w:rPr>
          <w:sz w:val="22"/>
          <w:szCs w:val="22"/>
        </w:rPr>
      </w:pPr>
      <w:r w:rsidRPr="003C715F">
        <w:rPr>
          <w:sz w:val="22"/>
          <w:szCs w:val="22"/>
        </w:rPr>
        <w:t>Version</w:t>
      </w:r>
      <w:r w:rsidR="003E4031" w:rsidRPr="003C715F">
        <w:rPr>
          <w:sz w:val="22"/>
          <w:szCs w:val="22"/>
        </w:rPr>
        <w:t xml:space="preserve"> </w:t>
      </w:r>
      <w:r w:rsidRPr="003C715F">
        <w:rPr>
          <w:sz w:val="22"/>
          <w:szCs w:val="22"/>
        </w:rPr>
        <w:t xml:space="preserve">1 of this Position Paper on </w:t>
      </w:r>
      <w:r w:rsidR="003E4031" w:rsidRPr="003C715F">
        <w:rPr>
          <w:sz w:val="22"/>
          <w:szCs w:val="22"/>
        </w:rPr>
        <w:t xml:space="preserve">Accumulated Surplus, Reserves and Funds </w:t>
      </w:r>
      <w:r w:rsidRPr="003C715F">
        <w:rPr>
          <w:sz w:val="22"/>
          <w:szCs w:val="22"/>
        </w:rPr>
        <w:t>was discussed and presented to the ICF at the 9 September 2015</w:t>
      </w:r>
      <w:r w:rsidR="00F46F7E" w:rsidRPr="003C715F">
        <w:rPr>
          <w:sz w:val="22"/>
          <w:szCs w:val="22"/>
        </w:rPr>
        <w:t xml:space="preserve"> meeting</w:t>
      </w:r>
      <w:r w:rsidRPr="003C715F">
        <w:rPr>
          <w:sz w:val="22"/>
          <w:szCs w:val="22"/>
        </w:rPr>
        <w:t>.</w:t>
      </w:r>
    </w:p>
    <w:p w:rsidR="00796AD0" w:rsidRPr="003C715F" w:rsidRDefault="00796AD0" w:rsidP="00DA4B74">
      <w:pPr>
        <w:pStyle w:val="BulletLevelParagraph"/>
        <w:rPr>
          <w:sz w:val="22"/>
          <w:szCs w:val="22"/>
        </w:rPr>
      </w:pPr>
      <w:r w:rsidRPr="003C715F">
        <w:rPr>
          <w:sz w:val="22"/>
          <w:szCs w:val="22"/>
        </w:rPr>
        <w:t>Content discussed and agreement reached by the OAG w</w:t>
      </w:r>
      <w:r w:rsidR="003E4031" w:rsidRPr="003C715F">
        <w:rPr>
          <w:sz w:val="22"/>
          <w:szCs w:val="22"/>
        </w:rPr>
        <w:t>ith the ASB on 15 February 2016</w:t>
      </w:r>
      <w:r w:rsidRPr="003C715F">
        <w:rPr>
          <w:sz w:val="22"/>
          <w:szCs w:val="22"/>
        </w:rPr>
        <w:t>.</w:t>
      </w:r>
    </w:p>
    <w:p w:rsidR="00796AD0" w:rsidRPr="003C715F" w:rsidRDefault="00796AD0" w:rsidP="00DA4B74">
      <w:pPr>
        <w:pStyle w:val="BulletLevelParagraph"/>
        <w:rPr>
          <w:sz w:val="22"/>
          <w:szCs w:val="22"/>
        </w:rPr>
      </w:pPr>
      <w:r w:rsidRPr="003C715F">
        <w:rPr>
          <w:sz w:val="22"/>
          <w:szCs w:val="22"/>
        </w:rPr>
        <w:t xml:space="preserve">Comment period offered to the ASB Forum Members and invitation extended to all municipalities / provincial treasuries from beginning of March to 8 April 2016.  Comments received up to 12 July 2016 considered in finalisation of the Position Paper.  </w:t>
      </w:r>
    </w:p>
    <w:p w:rsidR="003E4031" w:rsidRPr="003C715F" w:rsidRDefault="00796AD0" w:rsidP="00DA4B74">
      <w:pPr>
        <w:pStyle w:val="BulletLevelParagraph"/>
        <w:rPr>
          <w:sz w:val="22"/>
          <w:szCs w:val="22"/>
        </w:rPr>
      </w:pPr>
      <w:r w:rsidRPr="003C715F">
        <w:rPr>
          <w:sz w:val="22"/>
          <w:szCs w:val="22"/>
        </w:rPr>
        <w:t xml:space="preserve">Position Paper to be recommended for publishing to the National Treasury Web. </w:t>
      </w:r>
    </w:p>
    <w:p w:rsidR="00796AD0" w:rsidRPr="003C715F" w:rsidRDefault="00796AD0" w:rsidP="00DA4B74">
      <w:pPr>
        <w:pStyle w:val="BulletLevelParagraph"/>
        <w:numPr>
          <w:ilvl w:val="0"/>
          <w:numId w:val="0"/>
        </w:numPr>
        <w:ind w:left="1135"/>
        <w:rPr>
          <w:sz w:val="22"/>
          <w:szCs w:val="22"/>
        </w:rPr>
      </w:pPr>
    </w:p>
    <w:p w:rsidR="001205FA" w:rsidRPr="003C715F" w:rsidRDefault="001205FA" w:rsidP="00DA4B74">
      <w:pPr>
        <w:ind w:left="1668"/>
        <w:jc w:val="both"/>
        <w:rPr>
          <w:sz w:val="22"/>
        </w:rPr>
        <w:sectPr w:rsidR="001205FA" w:rsidRPr="003C715F" w:rsidSect="001205FA">
          <w:pgSz w:w="11906" w:h="16838"/>
          <w:pgMar w:top="1440" w:right="1440" w:bottom="1440" w:left="1440" w:header="708" w:footer="708" w:gutter="0"/>
          <w:cols w:space="708"/>
          <w:docGrid w:linePitch="360"/>
        </w:sectPr>
      </w:pPr>
    </w:p>
    <w:p w:rsidR="00EB76FC" w:rsidRDefault="00EB76FC" w:rsidP="00DA4B74">
      <w:pPr>
        <w:ind w:left="1668"/>
        <w:jc w:val="both"/>
      </w:pPr>
    </w:p>
    <w:p w:rsidR="00BC052D" w:rsidRPr="00695A56" w:rsidRDefault="00BC052D" w:rsidP="00695A56">
      <w:pPr>
        <w:pStyle w:val="Heading2"/>
        <w:spacing w:before="200" w:after="0" w:line="276" w:lineRule="auto"/>
        <w:rPr>
          <w:rFonts w:ascii="Arial" w:hAnsi="Arial" w:cs="Arial"/>
          <w:color w:val="auto"/>
          <w:sz w:val="24"/>
          <w:szCs w:val="24"/>
        </w:rPr>
      </w:pPr>
      <w:bookmarkStart w:id="18" w:name="_Toc456353332"/>
      <w:bookmarkStart w:id="19" w:name="_Toc466034842"/>
      <w:r w:rsidRPr="00695A56">
        <w:rPr>
          <w:rFonts w:ascii="Arial" w:hAnsi="Arial" w:cs="Arial"/>
          <w:color w:val="auto"/>
          <w:sz w:val="24"/>
          <w:szCs w:val="24"/>
        </w:rPr>
        <w:t>ANNEXURE A: COMMENTS AND QUERIES RECEIVED INFORMING THE PROBLEM STATEMENT</w:t>
      </w:r>
      <w:bookmarkEnd w:id="18"/>
      <w:bookmarkEnd w:id="19"/>
    </w:p>
    <w:tbl>
      <w:tblPr>
        <w:tblW w:w="4994" w:type="pct"/>
        <w:tblBorders>
          <w:top w:val="single" w:sz="18" w:space="0" w:color="auto"/>
          <w:bottom w:val="single" w:sz="18" w:space="0" w:color="auto"/>
        </w:tblBorders>
        <w:tblLook w:val="04A0" w:firstRow="1" w:lastRow="0" w:firstColumn="1" w:lastColumn="0" w:noHBand="0" w:noVBand="1"/>
      </w:tblPr>
      <w:tblGrid>
        <w:gridCol w:w="1764"/>
        <w:gridCol w:w="1821"/>
        <w:gridCol w:w="1492"/>
        <w:gridCol w:w="4729"/>
        <w:gridCol w:w="4135"/>
      </w:tblGrid>
      <w:tr w:rsidR="00AF7175" w:rsidRPr="00DA4B74" w:rsidTr="00052202">
        <w:trPr>
          <w:tblHeader/>
        </w:trPr>
        <w:tc>
          <w:tcPr>
            <w:tcW w:w="633" w:type="pct"/>
            <w:tcBorders>
              <w:top w:val="single" w:sz="18" w:space="0" w:color="auto"/>
              <w:bottom w:val="single" w:sz="18" w:space="0" w:color="auto"/>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Reference / Date</w:t>
            </w:r>
          </w:p>
        </w:tc>
        <w:tc>
          <w:tcPr>
            <w:tcW w:w="653" w:type="pct"/>
            <w:tcBorders>
              <w:top w:val="single" w:sz="18" w:space="0" w:color="auto"/>
              <w:left w:val="nil"/>
              <w:bottom w:val="single" w:sz="18" w:space="0" w:color="auto"/>
              <w:right w:val="nil"/>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From</w:t>
            </w:r>
          </w:p>
        </w:tc>
        <w:tc>
          <w:tcPr>
            <w:tcW w:w="535" w:type="pct"/>
            <w:tcBorders>
              <w:top w:val="single" w:sz="18" w:space="0" w:color="auto"/>
              <w:bottom w:val="single" w:sz="18" w:space="0" w:color="auto"/>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Number</w:t>
            </w:r>
          </w:p>
        </w:tc>
        <w:tc>
          <w:tcPr>
            <w:tcW w:w="1696" w:type="pct"/>
            <w:tcBorders>
              <w:top w:val="single" w:sz="18" w:space="0" w:color="auto"/>
              <w:left w:val="nil"/>
              <w:bottom w:val="single" w:sz="18" w:space="0" w:color="auto"/>
              <w:right w:val="nil"/>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Query</w:t>
            </w:r>
          </w:p>
        </w:tc>
        <w:tc>
          <w:tcPr>
            <w:tcW w:w="1483" w:type="pct"/>
            <w:tcBorders>
              <w:top w:val="single" w:sz="18" w:space="0" w:color="auto"/>
              <w:bottom w:val="single" w:sz="18" w:space="0" w:color="auto"/>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Response</w:t>
            </w:r>
          </w:p>
        </w:tc>
      </w:tr>
      <w:tr w:rsidR="00AF7175" w:rsidRPr="00DA4B74" w:rsidTr="00052202">
        <w:tc>
          <w:tcPr>
            <w:tcW w:w="633" w:type="pct"/>
            <w:vMerge w:val="restart"/>
            <w:shd w:val="clear" w:color="auto" w:fill="C00000"/>
          </w:tcPr>
          <w:p w:rsidR="006C72ED" w:rsidRPr="00DA4B74" w:rsidRDefault="006C72ED" w:rsidP="00DA4B74">
            <w:pPr>
              <w:spacing w:before="120" w:after="120" w:line="240" w:lineRule="auto"/>
              <w:jc w:val="both"/>
              <w:rPr>
                <w:b/>
                <w:bCs/>
                <w:color w:val="FFFFFF"/>
                <w:sz w:val="22"/>
              </w:rPr>
            </w:pPr>
            <w:r w:rsidRPr="00DA4B74">
              <w:rPr>
                <w:b/>
                <w:bCs/>
                <w:color w:val="FFFFFF"/>
                <w:sz w:val="22"/>
              </w:rPr>
              <w:t>Letter/Email</w:t>
            </w:r>
          </w:p>
          <w:p w:rsidR="006C72ED" w:rsidRPr="00DA4B74" w:rsidRDefault="006C72ED" w:rsidP="00DA4B74">
            <w:pPr>
              <w:spacing w:before="120" w:after="120" w:line="240" w:lineRule="auto"/>
              <w:jc w:val="both"/>
              <w:rPr>
                <w:b/>
                <w:bCs/>
                <w:color w:val="FFFFFF"/>
                <w:sz w:val="22"/>
              </w:rPr>
            </w:pPr>
            <w:r w:rsidRPr="00DA4B74">
              <w:rPr>
                <w:b/>
                <w:bCs/>
                <w:color w:val="FFFFFF"/>
                <w:sz w:val="22"/>
              </w:rPr>
              <w:t>9 May 2016</w:t>
            </w:r>
          </w:p>
        </w:tc>
        <w:tc>
          <w:tcPr>
            <w:tcW w:w="653" w:type="pct"/>
            <w:vMerge w:val="restart"/>
            <w:shd w:val="clear" w:color="auto" w:fill="D8D8D8"/>
          </w:tcPr>
          <w:p w:rsidR="006C72ED" w:rsidRPr="00DA4B74" w:rsidRDefault="00595B75" w:rsidP="00DA4B74">
            <w:pPr>
              <w:spacing w:before="120" w:after="120" w:line="240" w:lineRule="auto"/>
              <w:jc w:val="both"/>
              <w:rPr>
                <w:sz w:val="22"/>
              </w:rPr>
            </w:pPr>
            <w:r w:rsidRPr="00DA4B74">
              <w:rPr>
                <w:sz w:val="22"/>
              </w:rPr>
              <w:t>uMhlathuze</w:t>
            </w:r>
          </w:p>
          <w:p w:rsidR="006C72ED" w:rsidRPr="00DA4B74" w:rsidRDefault="006C72ED" w:rsidP="00DA4B74">
            <w:pPr>
              <w:spacing w:before="120" w:after="120" w:line="240" w:lineRule="auto"/>
              <w:jc w:val="both"/>
              <w:rPr>
                <w:sz w:val="22"/>
              </w:rPr>
            </w:pPr>
            <w:r w:rsidRPr="00DA4B74">
              <w:rPr>
                <w:sz w:val="22"/>
              </w:rPr>
              <w:t>Hilton Renald</w:t>
            </w:r>
          </w:p>
        </w:tc>
        <w:tc>
          <w:tcPr>
            <w:tcW w:w="535" w:type="pct"/>
            <w:shd w:val="clear" w:color="auto" w:fill="D8D8D8"/>
          </w:tcPr>
          <w:p w:rsidR="006C72ED" w:rsidRPr="00DA4B74" w:rsidRDefault="006C72ED" w:rsidP="00DA4B74">
            <w:pPr>
              <w:spacing w:before="120" w:after="120" w:line="240" w:lineRule="auto"/>
              <w:jc w:val="both"/>
              <w:rPr>
                <w:sz w:val="22"/>
              </w:rPr>
            </w:pPr>
            <w:r w:rsidRPr="00DA4B74">
              <w:rPr>
                <w:sz w:val="22"/>
              </w:rPr>
              <w:t>1.</w:t>
            </w:r>
          </w:p>
        </w:tc>
        <w:tc>
          <w:tcPr>
            <w:tcW w:w="1696" w:type="pct"/>
            <w:shd w:val="clear" w:color="auto" w:fill="D8D8D8"/>
          </w:tcPr>
          <w:p w:rsidR="006C72ED" w:rsidRPr="00DA4B74" w:rsidRDefault="006C72ED" w:rsidP="00DA4B74">
            <w:pPr>
              <w:spacing w:before="120" w:after="120" w:line="240" w:lineRule="auto"/>
              <w:jc w:val="both"/>
              <w:rPr>
                <w:sz w:val="22"/>
              </w:rPr>
            </w:pPr>
            <w:r w:rsidRPr="00DA4B74">
              <w:rPr>
                <w:sz w:val="22"/>
              </w:rPr>
              <w:t>Capitalisation Reserve – what will give rise to this reserve and how it should be funded if you want to have such a fund?</w:t>
            </w:r>
          </w:p>
        </w:tc>
        <w:tc>
          <w:tcPr>
            <w:tcW w:w="1483" w:type="pct"/>
            <w:shd w:val="clear" w:color="auto" w:fill="D8D8D8"/>
          </w:tcPr>
          <w:p w:rsidR="006C72ED" w:rsidRPr="00DA4B74" w:rsidRDefault="006C72ED" w:rsidP="00DA4B74">
            <w:pPr>
              <w:spacing w:before="120" w:after="120" w:line="240" w:lineRule="auto"/>
              <w:jc w:val="both"/>
              <w:rPr>
                <w:sz w:val="22"/>
              </w:rPr>
            </w:pPr>
            <w:r w:rsidRPr="00DA4B74">
              <w:rPr>
                <w:sz w:val="22"/>
              </w:rPr>
              <w:t xml:space="preserve">Refer to paragraph 37.  This accounts is only included as a “transitional arrangement” from the move from legendary “Fund Accounting Model” to the Standards of GRAP.  The available funds should be depleted “at a point in time”, where municipalities have a balance available.  </w:t>
            </w:r>
          </w:p>
        </w:tc>
      </w:tr>
      <w:tr w:rsidR="00AF7175" w:rsidRPr="00DA4B74" w:rsidTr="00052202">
        <w:tc>
          <w:tcPr>
            <w:tcW w:w="633" w:type="pct"/>
            <w:vMerge/>
            <w:shd w:val="clear" w:color="auto" w:fill="C00000"/>
          </w:tcPr>
          <w:p w:rsidR="006C72ED" w:rsidRPr="00DA4B74" w:rsidRDefault="006C72ED" w:rsidP="00DA4B74">
            <w:pPr>
              <w:spacing w:before="120" w:after="120" w:line="240" w:lineRule="auto"/>
              <w:jc w:val="both"/>
              <w:rPr>
                <w:b/>
                <w:bCs/>
                <w:color w:val="FFFFFF"/>
                <w:sz w:val="22"/>
              </w:rPr>
            </w:pPr>
          </w:p>
        </w:tc>
        <w:tc>
          <w:tcPr>
            <w:tcW w:w="653" w:type="pct"/>
            <w:vMerge/>
            <w:shd w:val="clear" w:color="auto" w:fill="auto"/>
          </w:tcPr>
          <w:p w:rsidR="006C72ED" w:rsidRPr="00DA4B74" w:rsidRDefault="006C72ED" w:rsidP="00DA4B74">
            <w:pPr>
              <w:spacing w:before="120" w:after="120" w:line="240" w:lineRule="auto"/>
              <w:jc w:val="both"/>
              <w:rPr>
                <w:sz w:val="22"/>
              </w:rPr>
            </w:pPr>
          </w:p>
        </w:tc>
        <w:tc>
          <w:tcPr>
            <w:tcW w:w="535" w:type="pct"/>
            <w:shd w:val="clear" w:color="auto" w:fill="auto"/>
          </w:tcPr>
          <w:p w:rsidR="006C72ED" w:rsidRPr="00DA4B74" w:rsidRDefault="006C72ED" w:rsidP="00DA4B74">
            <w:pPr>
              <w:spacing w:before="120" w:after="120" w:line="240" w:lineRule="auto"/>
              <w:jc w:val="both"/>
              <w:rPr>
                <w:sz w:val="22"/>
              </w:rPr>
            </w:pPr>
            <w:r w:rsidRPr="00DA4B74">
              <w:rPr>
                <w:sz w:val="22"/>
              </w:rPr>
              <w:t>2,</w:t>
            </w:r>
          </w:p>
        </w:tc>
        <w:tc>
          <w:tcPr>
            <w:tcW w:w="1696" w:type="pct"/>
            <w:shd w:val="clear" w:color="auto" w:fill="auto"/>
          </w:tcPr>
          <w:p w:rsidR="006C72ED" w:rsidRPr="00DA4B74" w:rsidRDefault="006C72ED" w:rsidP="00DA4B74">
            <w:pPr>
              <w:spacing w:before="120" w:after="120" w:line="240" w:lineRule="auto"/>
              <w:jc w:val="both"/>
              <w:rPr>
                <w:sz w:val="22"/>
              </w:rPr>
            </w:pPr>
            <w:r w:rsidRPr="00DA4B74">
              <w:rPr>
                <w:sz w:val="22"/>
              </w:rPr>
              <w:t>COID – what is this reserve for, as the municipality pays monthly fees in terms of the COID Legislation.</w:t>
            </w:r>
          </w:p>
        </w:tc>
        <w:tc>
          <w:tcPr>
            <w:tcW w:w="1483" w:type="pct"/>
            <w:shd w:val="clear" w:color="auto" w:fill="auto"/>
          </w:tcPr>
          <w:p w:rsidR="006C72ED" w:rsidRPr="00DA4B74" w:rsidRDefault="006C72ED" w:rsidP="00DA4B74">
            <w:pPr>
              <w:spacing w:before="120" w:after="120" w:line="240" w:lineRule="auto"/>
              <w:jc w:val="both"/>
              <w:rPr>
                <w:sz w:val="22"/>
              </w:rPr>
            </w:pPr>
            <w:r w:rsidRPr="00DA4B74">
              <w:rPr>
                <w:sz w:val="22"/>
              </w:rPr>
              <w:t xml:space="preserve">Refer to paragraph 37.  The COID reserve can only be created if a municipality has been exempted from making contributions to the Compensation Commissioner for Occupational Injuries and Diseases.  </w:t>
            </w:r>
          </w:p>
        </w:tc>
      </w:tr>
      <w:tr w:rsidR="00AF7175" w:rsidRPr="00DA4B74" w:rsidTr="00052202">
        <w:tc>
          <w:tcPr>
            <w:tcW w:w="633" w:type="pct"/>
            <w:tcBorders>
              <w:bottom w:val="single" w:sz="18" w:space="0" w:color="auto"/>
            </w:tcBorders>
            <w:shd w:val="clear" w:color="auto" w:fill="C00000"/>
          </w:tcPr>
          <w:p w:rsidR="00BC052D" w:rsidRPr="00DA4B74" w:rsidRDefault="00BC052D" w:rsidP="00DA4B74">
            <w:pPr>
              <w:spacing w:before="120" w:after="120" w:line="240" w:lineRule="auto"/>
              <w:jc w:val="both"/>
              <w:rPr>
                <w:b/>
                <w:bCs/>
                <w:color w:val="FFFFFF"/>
                <w:sz w:val="22"/>
              </w:rPr>
            </w:pPr>
            <w:r w:rsidRPr="00DA4B74">
              <w:rPr>
                <w:b/>
                <w:bCs/>
                <w:color w:val="FFFFFF"/>
                <w:sz w:val="22"/>
              </w:rPr>
              <w:t xml:space="preserve">Letter/Email </w:t>
            </w:r>
          </w:p>
          <w:p w:rsidR="00BC052D" w:rsidRPr="00DA4B74" w:rsidRDefault="00BC052D" w:rsidP="00DA4B74">
            <w:pPr>
              <w:spacing w:before="120" w:after="120" w:line="240" w:lineRule="auto"/>
              <w:jc w:val="both"/>
              <w:rPr>
                <w:b/>
                <w:bCs/>
                <w:color w:val="FFFFFF"/>
                <w:sz w:val="22"/>
              </w:rPr>
            </w:pPr>
            <w:r w:rsidRPr="00DA4B74">
              <w:rPr>
                <w:b/>
                <w:bCs/>
                <w:color w:val="FFFFFF"/>
                <w:sz w:val="22"/>
              </w:rPr>
              <w:t>8 April 2016</w:t>
            </w:r>
          </w:p>
        </w:tc>
        <w:tc>
          <w:tcPr>
            <w:tcW w:w="653" w:type="pct"/>
            <w:shd w:val="clear" w:color="auto" w:fill="D8D8D8"/>
          </w:tcPr>
          <w:p w:rsidR="00BC052D" w:rsidRPr="00DA4B74" w:rsidRDefault="00BC052D" w:rsidP="00DA4B74">
            <w:pPr>
              <w:spacing w:before="120" w:after="120" w:line="240" w:lineRule="auto"/>
              <w:jc w:val="both"/>
              <w:rPr>
                <w:sz w:val="22"/>
              </w:rPr>
            </w:pPr>
            <w:r w:rsidRPr="00DA4B74">
              <w:rPr>
                <w:sz w:val="22"/>
              </w:rPr>
              <w:t>ASB</w:t>
            </w:r>
          </w:p>
          <w:p w:rsidR="00BC052D" w:rsidRPr="00DA4B74" w:rsidRDefault="00BC052D" w:rsidP="00DA4B74">
            <w:pPr>
              <w:spacing w:before="120" w:after="120" w:line="240" w:lineRule="auto"/>
              <w:jc w:val="both"/>
              <w:rPr>
                <w:sz w:val="22"/>
              </w:rPr>
            </w:pPr>
            <w:r w:rsidRPr="00DA4B74">
              <w:rPr>
                <w:sz w:val="22"/>
              </w:rPr>
              <w:t xml:space="preserve">Jeanine </w:t>
            </w:r>
            <w:proofErr w:type="spellStart"/>
            <w:r w:rsidRPr="00DA4B74">
              <w:rPr>
                <w:sz w:val="22"/>
              </w:rPr>
              <w:t>Poggiolini</w:t>
            </w:r>
            <w:proofErr w:type="spellEnd"/>
          </w:p>
        </w:tc>
        <w:tc>
          <w:tcPr>
            <w:tcW w:w="535" w:type="pct"/>
            <w:shd w:val="clear" w:color="auto" w:fill="D8D8D8"/>
          </w:tcPr>
          <w:p w:rsidR="00BC052D" w:rsidRPr="00DA4B74" w:rsidRDefault="00AA11E1" w:rsidP="00DA4B74">
            <w:pPr>
              <w:spacing w:before="120" w:after="120" w:line="240" w:lineRule="auto"/>
              <w:jc w:val="both"/>
              <w:rPr>
                <w:sz w:val="22"/>
              </w:rPr>
            </w:pPr>
            <w:r w:rsidRPr="00DA4B74">
              <w:rPr>
                <w:sz w:val="22"/>
              </w:rPr>
              <w:t>3.</w:t>
            </w:r>
          </w:p>
        </w:tc>
        <w:tc>
          <w:tcPr>
            <w:tcW w:w="1696" w:type="pct"/>
            <w:shd w:val="clear" w:color="auto" w:fill="D8D8D8"/>
          </w:tcPr>
          <w:p w:rsidR="00BC052D" w:rsidRPr="00DA4B74" w:rsidRDefault="00BC052D" w:rsidP="00DA4B74">
            <w:pPr>
              <w:spacing w:before="120" w:after="120" w:line="240" w:lineRule="auto"/>
              <w:jc w:val="both"/>
              <w:rPr>
                <w:sz w:val="22"/>
              </w:rPr>
            </w:pPr>
            <w:r w:rsidRPr="00DA4B74">
              <w:rPr>
                <w:sz w:val="22"/>
              </w:rPr>
              <w:t>The reserves outlined in the position paper are different to those discussed on page 107 of the project summary on Assets, Liabilities and Net Assets (Section 7.3)</w:t>
            </w:r>
          </w:p>
        </w:tc>
        <w:tc>
          <w:tcPr>
            <w:tcW w:w="1483" w:type="pct"/>
            <w:shd w:val="clear" w:color="auto" w:fill="D8D8D8"/>
          </w:tcPr>
          <w:p w:rsidR="00BC052D" w:rsidRPr="00DA4B74" w:rsidRDefault="00AA11E1" w:rsidP="00DA4B74">
            <w:pPr>
              <w:spacing w:before="120" w:after="120" w:line="240" w:lineRule="auto"/>
              <w:jc w:val="both"/>
              <w:rPr>
                <w:sz w:val="22"/>
              </w:rPr>
            </w:pPr>
            <w:r w:rsidRPr="00DA4B74">
              <w:rPr>
                <w:sz w:val="22"/>
              </w:rPr>
              <w:t>Refer to paragraph 37 read with the PSD.  The content of the Position Paper updated to agree with the Funds and Reserves according to mSCOA V5.5 and the Section 7.3 of the Project Summary Document (PSD).</w:t>
            </w:r>
          </w:p>
        </w:tc>
      </w:tr>
    </w:tbl>
    <w:p w:rsidR="00BC29DD" w:rsidRPr="00DA4B74" w:rsidRDefault="00BC29DD" w:rsidP="00DA4B74">
      <w:pPr>
        <w:jc w:val="both"/>
        <w:rPr>
          <w:rFonts w:ascii="Cambria" w:hAnsi="Cambria"/>
          <w:b/>
          <w:bCs/>
          <w:color w:val="365F91"/>
          <w:sz w:val="28"/>
          <w:szCs w:val="28"/>
        </w:rPr>
      </w:pPr>
    </w:p>
    <w:p w:rsidR="008973D0" w:rsidRPr="00695A56" w:rsidRDefault="001578F2" w:rsidP="00695A56">
      <w:pPr>
        <w:pStyle w:val="Heading2"/>
        <w:spacing w:before="200" w:after="0" w:line="276" w:lineRule="auto"/>
        <w:rPr>
          <w:rFonts w:ascii="Arial" w:hAnsi="Arial" w:cs="Arial"/>
          <w:color w:val="auto"/>
          <w:sz w:val="24"/>
          <w:szCs w:val="24"/>
        </w:rPr>
      </w:pPr>
      <w:bookmarkStart w:id="20" w:name="_Ref456974923"/>
      <w:bookmarkStart w:id="21" w:name="_Toc466034843"/>
      <w:r w:rsidRPr="00695A56">
        <w:rPr>
          <w:rFonts w:ascii="Arial" w:hAnsi="Arial" w:cs="Arial"/>
          <w:color w:val="auto"/>
          <w:sz w:val="24"/>
          <w:szCs w:val="24"/>
        </w:rPr>
        <w:t>ANNEXURE B - MAY 2004 – GUIDELINES FOR THE IMPLEMENTATION OF ACCOUNTING STANDARDS OF GENERALLY RECOGNISED ACCOUNTING PRACTICE</w:t>
      </w:r>
      <w:bookmarkEnd w:id="20"/>
      <w:bookmarkEnd w:id="21"/>
      <w:r w:rsidR="00B01319" w:rsidRPr="00695A56">
        <w:rPr>
          <w:rFonts w:ascii="Arial" w:hAnsi="Arial" w:cs="Arial"/>
          <w:color w:val="auto"/>
          <w:sz w:val="24"/>
          <w:szCs w:val="24"/>
        </w:rPr>
        <w:t xml:space="preserve"> </w:t>
      </w:r>
    </w:p>
    <w:p w:rsidR="008973D0" w:rsidRPr="00695A56" w:rsidRDefault="008973D0" w:rsidP="00695A56">
      <w:pPr>
        <w:pStyle w:val="Heading3"/>
        <w:rPr>
          <w:rFonts w:ascii="Arial" w:hAnsi="Arial" w:cs="Arial"/>
          <w:color w:val="auto"/>
          <w:sz w:val="20"/>
          <w:szCs w:val="20"/>
        </w:rPr>
      </w:pPr>
      <w:bookmarkStart w:id="22" w:name="_Toc466034844"/>
      <w:r w:rsidRPr="00695A56">
        <w:rPr>
          <w:rFonts w:ascii="Arial" w:hAnsi="Arial" w:cs="Arial"/>
          <w:color w:val="auto"/>
          <w:sz w:val="20"/>
          <w:szCs w:val="20"/>
        </w:rPr>
        <w:t>Summary of Fund Accounts prior to the “New Standards” with the Implementation Requirements</w:t>
      </w:r>
      <w:bookmarkEnd w:id="22"/>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169"/>
        <w:gridCol w:w="2857"/>
        <w:gridCol w:w="4756"/>
        <w:gridCol w:w="3166"/>
      </w:tblGrid>
      <w:tr w:rsidR="00AF7175" w:rsidRPr="00DA4B74" w:rsidTr="00052202">
        <w:trPr>
          <w:tblHeader/>
        </w:trPr>
        <w:tc>
          <w:tcPr>
            <w:tcW w:w="1136" w:type="pct"/>
            <w:tcBorders>
              <w:top w:val="single" w:sz="4" w:space="0" w:color="4F81BD"/>
              <w:left w:val="single" w:sz="4" w:space="0" w:color="4F81BD"/>
              <w:bottom w:val="single" w:sz="4" w:space="0" w:color="4F81BD"/>
              <w:right w:val="nil"/>
            </w:tcBorders>
            <w:shd w:val="clear" w:color="auto" w:fill="C00000"/>
          </w:tcPr>
          <w:p w:rsidR="009700C9" w:rsidRPr="00DA4B74" w:rsidRDefault="009700C9" w:rsidP="00DA4B74">
            <w:pPr>
              <w:spacing w:before="120" w:after="120" w:line="240" w:lineRule="auto"/>
              <w:jc w:val="both"/>
              <w:rPr>
                <w:b/>
                <w:bCs/>
                <w:color w:val="FFFFFF"/>
                <w:sz w:val="22"/>
              </w:rPr>
            </w:pPr>
            <w:r w:rsidRPr="00DA4B74">
              <w:rPr>
                <w:b/>
                <w:bCs/>
                <w:color w:val="FFFFFF"/>
                <w:sz w:val="22"/>
              </w:rPr>
              <w:t>Former Fund Accounting Statement of Financial Position</w:t>
            </w:r>
          </w:p>
        </w:tc>
        <w:tc>
          <w:tcPr>
            <w:tcW w:w="1024" w:type="pct"/>
            <w:tcBorders>
              <w:top w:val="single" w:sz="4" w:space="0" w:color="4F81BD"/>
              <w:left w:val="nil"/>
              <w:bottom w:val="single" w:sz="4" w:space="0" w:color="4F81BD"/>
              <w:right w:val="nil"/>
            </w:tcBorders>
            <w:shd w:val="clear" w:color="auto" w:fill="C00000"/>
          </w:tcPr>
          <w:p w:rsidR="009700C9" w:rsidRPr="00DA4B74" w:rsidRDefault="009700C9" w:rsidP="00DA4B74">
            <w:pPr>
              <w:spacing w:before="120" w:after="120" w:line="240" w:lineRule="auto"/>
              <w:jc w:val="both"/>
              <w:rPr>
                <w:b/>
                <w:bCs/>
                <w:color w:val="FFFFFF"/>
                <w:sz w:val="22"/>
              </w:rPr>
            </w:pPr>
            <w:r w:rsidRPr="00DA4B74">
              <w:rPr>
                <w:b/>
                <w:bCs/>
                <w:color w:val="FFFFFF"/>
                <w:sz w:val="22"/>
              </w:rPr>
              <w:t>Implementation Process</w:t>
            </w:r>
          </w:p>
        </w:tc>
        <w:tc>
          <w:tcPr>
            <w:tcW w:w="1705" w:type="pct"/>
            <w:tcBorders>
              <w:top w:val="single" w:sz="4" w:space="0" w:color="4F81BD"/>
              <w:left w:val="nil"/>
              <w:bottom w:val="single" w:sz="4" w:space="0" w:color="4F81BD"/>
              <w:right w:val="nil"/>
            </w:tcBorders>
            <w:shd w:val="clear" w:color="auto" w:fill="C00000"/>
          </w:tcPr>
          <w:p w:rsidR="009700C9" w:rsidRPr="00DA4B74" w:rsidRDefault="009700C9" w:rsidP="00DA4B74">
            <w:pPr>
              <w:spacing w:before="120" w:after="120" w:line="240" w:lineRule="auto"/>
              <w:jc w:val="both"/>
              <w:rPr>
                <w:b/>
                <w:bCs/>
                <w:color w:val="FFFFFF"/>
                <w:sz w:val="22"/>
              </w:rPr>
            </w:pPr>
            <w:r w:rsidRPr="00DA4B74">
              <w:rPr>
                <w:b/>
                <w:bCs/>
                <w:color w:val="FFFFFF"/>
                <w:sz w:val="22"/>
              </w:rPr>
              <w:t>Description of Implementation Process and Reference to these Guidelines</w:t>
            </w:r>
          </w:p>
        </w:tc>
        <w:tc>
          <w:tcPr>
            <w:tcW w:w="1135" w:type="pct"/>
            <w:tcBorders>
              <w:top w:val="single" w:sz="4" w:space="0" w:color="4F81BD"/>
              <w:left w:val="nil"/>
              <w:bottom w:val="single" w:sz="4" w:space="0" w:color="4F81BD"/>
              <w:right w:val="single" w:sz="4" w:space="0" w:color="4F81BD"/>
            </w:tcBorders>
            <w:shd w:val="clear" w:color="auto" w:fill="C00000"/>
          </w:tcPr>
          <w:p w:rsidR="009700C9" w:rsidRPr="00DA4B74" w:rsidRDefault="009700C9" w:rsidP="00DA4B74">
            <w:pPr>
              <w:spacing w:before="120" w:after="120" w:line="240" w:lineRule="auto"/>
              <w:jc w:val="both"/>
              <w:rPr>
                <w:b/>
                <w:bCs/>
                <w:color w:val="FFFFFF"/>
                <w:sz w:val="22"/>
              </w:rPr>
            </w:pPr>
            <w:r w:rsidRPr="00DA4B74">
              <w:rPr>
                <w:b/>
                <w:bCs/>
                <w:color w:val="FFFFFF"/>
                <w:sz w:val="22"/>
              </w:rPr>
              <w:t>New Standards of Financial Position</w:t>
            </w:r>
          </w:p>
        </w:tc>
      </w:tr>
      <w:tr w:rsidR="00AF7175" w:rsidRPr="00DA4B74" w:rsidTr="00052202">
        <w:tc>
          <w:tcPr>
            <w:tcW w:w="1136" w:type="pct"/>
            <w:shd w:val="clear" w:color="auto" w:fill="D9D9D9" w:themeFill="background1" w:themeFillShade="D9"/>
          </w:tcPr>
          <w:p w:rsidR="009700C9" w:rsidRPr="00DA4B74" w:rsidRDefault="0021572D" w:rsidP="00DA4B74">
            <w:pPr>
              <w:spacing w:before="120" w:after="120" w:line="240" w:lineRule="auto"/>
              <w:jc w:val="both"/>
              <w:rPr>
                <w:b/>
                <w:bCs/>
                <w:sz w:val="22"/>
              </w:rPr>
            </w:pPr>
            <w:r w:rsidRPr="00DA4B74">
              <w:rPr>
                <w:b/>
                <w:bCs/>
                <w:sz w:val="22"/>
              </w:rPr>
              <w:t>STATUTORY FUNDS</w:t>
            </w:r>
          </w:p>
        </w:tc>
        <w:tc>
          <w:tcPr>
            <w:tcW w:w="1024"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705"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135" w:type="pct"/>
            <w:shd w:val="clear" w:color="auto" w:fill="D9D9D9" w:themeFill="background1" w:themeFillShade="D9"/>
          </w:tcPr>
          <w:p w:rsidR="009700C9" w:rsidRPr="00DA4B74" w:rsidRDefault="009700C9" w:rsidP="00DA4B74">
            <w:pPr>
              <w:spacing w:before="120" w:after="120" w:line="240" w:lineRule="auto"/>
              <w:jc w:val="both"/>
              <w:rPr>
                <w:sz w:val="22"/>
              </w:rPr>
            </w:pPr>
          </w:p>
        </w:tc>
      </w:tr>
      <w:tr w:rsidR="00AF7175" w:rsidRPr="00DA4B74" w:rsidTr="00DA4B74">
        <w:tc>
          <w:tcPr>
            <w:tcW w:w="1136" w:type="pct"/>
            <w:shd w:val="clear" w:color="auto" w:fill="auto"/>
          </w:tcPr>
          <w:p w:rsidR="009700C9" w:rsidRPr="00DA4B74" w:rsidRDefault="009700C9" w:rsidP="00DA4B74">
            <w:pPr>
              <w:spacing w:before="120" w:after="120" w:line="240" w:lineRule="auto"/>
              <w:jc w:val="both"/>
              <w:rPr>
                <w:bCs/>
                <w:sz w:val="22"/>
              </w:rPr>
            </w:pPr>
            <w:r w:rsidRPr="00DA4B74">
              <w:rPr>
                <w:b/>
                <w:bCs/>
                <w:sz w:val="22"/>
              </w:rPr>
              <w:t>Capital Development Fund</w:t>
            </w:r>
          </w:p>
          <w:p w:rsidR="009700C9" w:rsidRPr="00DA4B74" w:rsidRDefault="009700C9" w:rsidP="00DA4B74">
            <w:pPr>
              <w:spacing w:before="120" w:after="120" w:line="240" w:lineRule="auto"/>
              <w:jc w:val="both"/>
              <w:rPr>
                <w:bCs/>
                <w:sz w:val="22"/>
              </w:rPr>
            </w:pPr>
            <w:r w:rsidRPr="00DA4B74">
              <w:rPr>
                <w:b/>
                <w:bCs/>
                <w:sz w:val="22"/>
              </w:rPr>
              <w:t>Land Trust Fund</w:t>
            </w:r>
          </w:p>
          <w:p w:rsidR="009700C9" w:rsidRPr="00DA4B74" w:rsidRDefault="009700C9" w:rsidP="00DA4B74">
            <w:pPr>
              <w:spacing w:before="120" w:after="120" w:line="240" w:lineRule="auto"/>
              <w:jc w:val="both"/>
              <w:rPr>
                <w:bCs/>
                <w:sz w:val="22"/>
              </w:rPr>
            </w:pPr>
            <w:r w:rsidRPr="00DA4B74">
              <w:rPr>
                <w:b/>
                <w:bCs/>
                <w:sz w:val="22"/>
              </w:rPr>
              <w:t>Public Improvement Fund</w:t>
            </w:r>
          </w:p>
          <w:p w:rsidR="009700C9" w:rsidRPr="00DA4B74" w:rsidRDefault="009700C9" w:rsidP="00DA4B74">
            <w:pPr>
              <w:spacing w:before="120" w:after="120" w:line="240" w:lineRule="auto"/>
              <w:jc w:val="both"/>
              <w:rPr>
                <w:bCs/>
                <w:sz w:val="22"/>
              </w:rPr>
            </w:pPr>
            <w:r w:rsidRPr="00DA4B74">
              <w:rPr>
                <w:b/>
                <w:bCs/>
                <w:sz w:val="22"/>
              </w:rPr>
              <w:t>Endowment Fund</w:t>
            </w:r>
          </w:p>
          <w:p w:rsidR="009700C9" w:rsidRPr="00DA4B74" w:rsidRDefault="009700C9" w:rsidP="00DA4B74">
            <w:pPr>
              <w:spacing w:before="120" w:after="120" w:line="240" w:lineRule="auto"/>
              <w:jc w:val="both"/>
              <w:rPr>
                <w:bCs/>
                <w:sz w:val="22"/>
              </w:rPr>
            </w:pPr>
            <w:r w:rsidRPr="00DA4B74">
              <w:rPr>
                <w:b/>
                <w:bCs/>
                <w:sz w:val="22"/>
              </w:rPr>
              <w:t>Other Statutory Funds</w:t>
            </w:r>
          </w:p>
        </w:tc>
        <w:tc>
          <w:tcPr>
            <w:tcW w:w="1024" w:type="pct"/>
            <w:shd w:val="clear" w:color="auto" w:fill="auto"/>
          </w:tcPr>
          <w:p w:rsidR="009700C9" w:rsidRPr="00DA4B74" w:rsidRDefault="009700C9" w:rsidP="00DA4B74">
            <w:pPr>
              <w:spacing w:before="120" w:after="120" w:line="240" w:lineRule="auto"/>
              <w:jc w:val="both"/>
              <w:rPr>
                <w:sz w:val="22"/>
              </w:rPr>
            </w:pPr>
            <w:bookmarkStart w:id="23" w:name="_Ref456718612"/>
            <w:r w:rsidRPr="00DA4B74">
              <w:rPr>
                <w:sz w:val="22"/>
              </w:rPr>
              <w:t>Transfer to Asset Financing Reserve</w:t>
            </w:r>
            <w:bookmarkEnd w:id="23"/>
          </w:p>
        </w:tc>
        <w:tc>
          <w:tcPr>
            <w:tcW w:w="1705" w:type="pct"/>
            <w:shd w:val="clear" w:color="auto" w:fill="auto"/>
          </w:tcPr>
          <w:p w:rsidR="009700C9" w:rsidRPr="00DA4B74" w:rsidRDefault="009700C9" w:rsidP="00DA4B74">
            <w:pPr>
              <w:spacing w:before="120" w:after="120" w:line="240" w:lineRule="auto"/>
              <w:jc w:val="both"/>
              <w:rPr>
                <w:sz w:val="22"/>
              </w:rPr>
            </w:pPr>
            <w:r w:rsidRPr="00DA4B74">
              <w:rPr>
                <w:sz w:val="22"/>
              </w:rPr>
              <w:t>The various statutory funds are initially amalgamated and then an Asset Financing Reserve (AFR) created.</w:t>
            </w:r>
          </w:p>
        </w:tc>
        <w:tc>
          <w:tcPr>
            <w:tcW w:w="1135" w:type="pct"/>
            <w:shd w:val="clear" w:color="auto" w:fill="auto"/>
          </w:tcPr>
          <w:p w:rsidR="009700C9" w:rsidRPr="00DA4B74" w:rsidRDefault="003E4031" w:rsidP="00DA4B74">
            <w:pPr>
              <w:spacing w:before="120" w:after="120" w:line="240" w:lineRule="auto"/>
              <w:jc w:val="both"/>
              <w:rPr>
                <w:sz w:val="22"/>
              </w:rPr>
            </w:pPr>
            <w:r w:rsidRPr="00DA4B74">
              <w:rPr>
                <w:sz w:val="22"/>
              </w:rPr>
              <w:t>Asset Financing Reserve</w:t>
            </w:r>
          </w:p>
        </w:tc>
      </w:tr>
      <w:tr w:rsidR="00B01319" w:rsidRPr="00DA4B74" w:rsidTr="00052202">
        <w:tc>
          <w:tcPr>
            <w:tcW w:w="5000" w:type="pct"/>
            <w:gridSpan w:val="4"/>
            <w:shd w:val="clear" w:color="auto" w:fill="D9D9D9" w:themeFill="background1" w:themeFillShade="D9"/>
          </w:tcPr>
          <w:p w:rsidR="00B01319" w:rsidRPr="00DA4B74" w:rsidRDefault="00B01319" w:rsidP="00DA4B74">
            <w:pPr>
              <w:spacing w:before="120" w:after="120" w:line="240" w:lineRule="auto"/>
              <w:jc w:val="both"/>
              <w:rPr>
                <w:bCs/>
                <w:sz w:val="22"/>
              </w:rPr>
            </w:pPr>
            <w:r w:rsidRPr="00DA4B74">
              <w:rPr>
                <w:b/>
                <w:bCs/>
                <w:sz w:val="22"/>
              </w:rPr>
              <w:t>Refer to Reserves for a discussion on the Asset Financing Reserve</w:t>
            </w:r>
            <w:r w:rsidR="00C67F00" w:rsidRPr="00DA4B74">
              <w:rPr>
                <w:b/>
                <w:bCs/>
                <w:sz w:val="22"/>
              </w:rPr>
              <w:t xml:space="preserve"> (AFR)</w:t>
            </w:r>
            <w:r w:rsidRPr="00DA4B74">
              <w:rPr>
                <w:b/>
                <w:bCs/>
                <w:sz w:val="22"/>
              </w:rPr>
              <w:t>.</w:t>
            </w:r>
            <w:r w:rsidR="003E4031" w:rsidRPr="00DA4B74">
              <w:rPr>
                <w:b/>
                <w:bCs/>
                <w:sz w:val="22"/>
              </w:rPr>
              <w:t xml:space="preserve">  </w:t>
            </w:r>
          </w:p>
        </w:tc>
      </w:tr>
      <w:tr w:rsidR="00AF7175" w:rsidRPr="00DA4B74" w:rsidTr="00DA4B74">
        <w:tc>
          <w:tcPr>
            <w:tcW w:w="1136" w:type="pct"/>
            <w:shd w:val="clear" w:color="auto" w:fill="auto"/>
          </w:tcPr>
          <w:p w:rsidR="009700C9" w:rsidRPr="00DA4B74" w:rsidRDefault="009700C9" w:rsidP="00DA4B74">
            <w:pPr>
              <w:spacing w:before="120" w:after="120" w:line="240" w:lineRule="auto"/>
              <w:jc w:val="both"/>
              <w:rPr>
                <w:bCs/>
                <w:sz w:val="22"/>
              </w:rPr>
            </w:pPr>
            <w:r w:rsidRPr="00DA4B74">
              <w:rPr>
                <w:b/>
                <w:bCs/>
                <w:sz w:val="22"/>
              </w:rPr>
              <w:t>Housing and Townships Development Fund</w:t>
            </w:r>
          </w:p>
        </w:tc>
        <w:tc>
          <w:tcPr>
            <w:tcW w:w="1024" w:type="pct"/>
            <w:shd w:val="clear" w:color="auto" w:fill="auto"/>
          </w:tcPr>
          <w:p w:rsidR="009700C9" w:rsidRPr="00DA4B74" w:rsidRDefault="00B01319" w:rsidP="00DA4B74">
            <w:pPr>
              <w:spacing w:before="120" w:after="120" w:line="240" w:lineRule="auto"/>
              <w:jc w:val="both"/>
              <w:rPr>
                <w:sz w:val="22"/>
              </w:rPr>
            </w:pPr>
            <w:r w:rsidRPr="00DA4B74">
              <w:rPr>
                <w:sz w:val="22"/>
              </w:rPr>
              <w:t xml:space="preserve">Retain </w:t>
            </w:r>
          </w:p>
        </w:tc>
        <w:tc>
          <w:tcPr>
            <w:tcW w:w="1705" w:type="pct"/>
            <w:shd w:val="clear" w:color="auto" w:fill="auto"/>
          </w:tcPr>
          <w:p w:rsidR="009700C9" w:rsidRPr="00DA4B74" w:rsidRDefault="009700C9" w:rsidP="00DA4B74">
            <w:pPr>
              <w:spacing w:before="120" w:after="120" w:line="240" w:lineRule="auto"/>
              <w:jc w:val="both"/>
              <w:rPr>
                <w:sz w:val="22"/>
              </w:rPr>
            </w:pPr>
            <w:r w:rsidRPr="00DA4B74">
              <w:rPr>
                <w:sz w:val="22"/>
              </w:rPr>
              <w:t>The only statutory fund that has been retained is the Housing Development Fund, in terms of legislation.</w:t>
            </w:r>
          </w:p>
        </w:tc>
        <w:tc>
          <w:tcPr>
            <w:tcW w:w="1135" w:type="pct"/>
            <w:shd w:val="clear" w:color="auto" w:fill="auto"/>
          </w:tcPr>
          <w:p w:rsidR="009700C9" w:rsidRPr="00DA4B74" w:rsidRDefault="009700C9" w:rsidP="00DA4B74">
            <w:pPr>
              <w:spacing w:before="120" w:after="120" w:line="240" w:lineRule="auto"/>
              <w:jc w:val="both"/>
              <w:rPr>
                <w:sz w:val="22"/>
              </w:rPr>
            </w:pPr>
            <w:r w:rsidRPr="00DA4B74">
              <w:rPr>
                <w:sz w:val="22"/>
              </w:rPr>
              <w:t>Housing and Townships Development Fund</w:t>
            </w:r>
          </w:p>
        </w:tc>
      </w:tr>
      <w:tr w:rsidR="009700C9" w:rsidRPr="00DA4B74" w:rsidTr="00052202">
        <w:tc>
          <w:tcPr>
            <w:tcW w:w="5000" w:type="pct"/>
            <w:gridSpan w:val="4"/>
            <w:shd w:val="clear" w:color="auto" w:fill="D9D9D9" w:themeFill="background1" w:themeFillShade="D9"/>
          </w:tcPr>
          <w:p w:rsidR="0071386F" w:rsidRPr="00DA4B74" w:rsidRDefault="0071386F" w:rsidP="00DA4B74">
            <w:pPr>
              <w:spacing w:before="120" w:after="120" w:line="240" w:lineRule="auto"/>
              <w:jc w:val="both"/>
              <w:rPr>
                <w:b/>
                <w:bCs/>
                <w:sz w:val="22"/>
              </w:rPr>
            </w:pPr>
            <w:r w:rsidRPr="00DA4B74">
              <w:rPr>
                <w:b/>
                <w:bCs/>
                <w:sz w:val="22"/>
              </w:rPr>
              <w:t>HOUSING AND TOWNSHIPS DEVELOPMENT FUND</w:t>
            </w:r>
          </w:p>
          <w:p w:rsidR="00EA4BC1" w:rsidRPr="00DA4B74" w:rsidRDefault="00EA4BC1" w:rsidP="00DA4B74">
            <w:pPr>
              <w:spacing w:before="120" w:after="120" w:line="240" w:lineRule="auto"/>
              <w:jc w:val="both"/>
              <w:rPr>
                <w:b/>
                <w:bCs/>
                <w:sz w:val="22"/>
              </w:rPr>
            </w:pPr>
            <w:r w:rsidRPr="00DA4B74">
              <w:rPr>
                <w:b/>
                <w:bCs/>
                <w:sz w:val="22"/>
              </w:rPr>
              <w:t xml:space="preserve">Overview of old and new scheme housing </w:t>
            </w:r>
          </w:p>
          <w:p w:rsidR="003E4031" w:rsidRPr="00DA4B74" w:rsidRDefault="00EA4BC1" w:rsidP="00DA4B74">
            <w:pPr>
              <w:spacing w:before="120" w:after="120" w:line="240" w:lineRule="auto"/>
              <w:jc w:val="both"/>
              <w:rPr>
                <w:bCs/>
                <w:sz w:val="22"/>
              </w:rPr>
            </w:pPr>
            <w:r w:rsidRPr="00DA4B74">
              <w:rPr>
                <w:b/>
                <w:bCs/>
                <w:sz w:val="22"/>
              </w:rPr>
              <w:t xml:space="preserve">Legislation governing the provision of housing that was effective from 1 April 1998 changed the basis of providing housing. </w:t>
            </w:r>
            <w:r w:rsidR="00B01319" w:rsidRPr="00DA4B74">
              <w:rPr>
                <w:b/>
                <w:bCs/>
                <w:sz w:val="22"/>
              </w:rPr>
              <w:t xml:space="preserve"> </w:t>
            </w:r>
            <w:r w:rsidRPr="00DA4B74">
              <w:rPr>
                <w:b/>
                <w:bCs/>
                <w:sz w:val="22"/>
              </w:rPr>
              <w:t xml:space="preserve">Prior to 1 April 1998, there was an “old scheme” that was primarily based on the provision of soft loans for municipalities to undertake the provision of housing.  The legislation terminating “old scheme” business is not clearly drafted and there are diverse interpretations of its application in numerous municipalities around the country.  </w:t>
            </w:r>
          </w:p>
          <w:p w:rsidR="00EA4BC1" w:rsidRPr="00DA4B74" w:rsidRDefault="00EA4BC1" w:rsidP="00DA4B74">
            <w:pPr>
              <w:spacing w:before="120" w:after="120" w:line="240" w:lineRule="auto"/>
              <w:jc w:val="both"/>
              <w:rPr>
                <w:bCs/>
                <w:sz w:val="22"/>
              </w:rPr>
            </w:pPr>
            <w:r w:rsidRPr="00DA4B74">
              <w:rPr>
                <w:b/>
                <w:bCs/>
                <w:sz w:val="22"/>
              </w:rPr>
              <w:t>The “new scheme” is based on a subsidy that is used to provide houses.  Typically, municipalities act as developers on behalf of the provincial government.  These subsidies are usually included in municipality capital budgets, although the houses built are never under the control of the municipality.  Only the infrastructure, such as roads, will be under the control of the municipality and ultimately capitalised.</w:t>
            </w:r>
          </w:p>
          <w:p w:rsidR="00EA4BC1" w:rsidRPr="00DA4B74" w:rsidRDefault="00EA4BC1" w:rsidP="00DA4B74">
            <w:pPr>
              <w:spacing w:before="120" w:after="120" w:line="240" w:lineRule="auto"/>
              <w:jc w:val="both"/>
              <w:rPr>
                <w:b/>
                <w:bCs/>
                <w:sz w:val="22"/>
              </w:rPr>
            </w:pPr>
            <w:r w:rsidRPr="00DA4B74">
              <w:rPr>
                <w:b/>
                <w:bCs/>
                <w:sz w:val="22"/>
              </w:rPr>
              <w:t>Old scheme housing</w:t>
            </w:r>
          </w:p>
          <w:p w:rsidR="003E4031" w:rsidRPr="00DA4B74" w:rsidRDefault="00EA4BC1" w:rsidP="00DA4B74">
            <w:pPr>
              <w:spacing w:before="120" w:after="120" w:line="240" w:lineRule="auto"/>
              <w:jc w:val="both"/>
              <w:rPr>
                <w:bCs/>
                <w:sz w:val="22"/>
              </w:rPr>
            </w:pPr>
            <w:r w:rsidRPr="00DA4B74">
              <w:rPr>
                <w:b/>
                <w:bCs/>
                <w:sz w:val="22"/>
              </w:rPr>
              <w:t xml:space="preserve">There is no common interpretation amongst municipalities of the housing legislation disbanding the old scheme.  The loans that were extinguished by government on 1 April 1998 must be ring-fenced and used to provide housing in future through the mechanism of the Housing Development Fund.  The Housing Development Fund is a statutory fund and must be disclosed on the Statement of Financial Position as such.  Municipalities should continue operating a housing operating account.  Municipalities should include “old scheme” transactions in the Statement of Financial Performance, including revenue earned and expenses incurred. </w:t>
            </w:r>
            <w:r w:rsidR="00B01319" w:rsidRPr="00DA4B74">
              <w:rPr>
                <w:b/>
                <w:bCs/>
                <w:sz w:val="22"/>
              </w:rPr>
              <w:t xml:space="preserve"> </w:t>
            </w:r>
          </w:p>
          <w:p w:rsidR="00EA4BC1" w:rsidRPr="00DA4B74" w:rsidRDefault="00EA4BC1" w:rsidP="00DA4B74">
            <w:pPr>
              <w:spacing w:before="120" w:after="120" w:line="240" w:lineRule="auto"/>
              <w:jc w:val="both"/>
              <w:rPr>
                <w:bCs/>
                <w:sz w:val="22"/>
              </w:rPr>
            </w:pPr>
            <w:r w:rsidRPr="00DA4B74">
              <w:rPr>
                <w:b/>
                <w:bCs/>
                <w:sz w:val="22"/>
              </w:rPr>
              <w:t>New expenses, such as the depreciation of housing rental units and the provision for bad debts, will need to be included in the Statement of Financial Performance.  This means that the transactions of the “old scheme” should be budgeted for in the same manner as other activities of the municipality</w:t>
            </w:r>
            <w:r w:rsidR="00883D50" w:rsidRPr="00DA4B74">
              <w:rPr>
                <w:b/>
                <w:bCs/>
                <w:sz w:val="22"/>
              </w:rPr>
              <w:t>,</w:t>
            </w:r>
            <w:r w:rsidRPr="00DA4B74">
              <w:rPr>
                <w:b/>
                <w:bCs/>
                <w:sz w:val="22"/>
              </w:rPr>
              <w:t xml:space="preserve"> from both an operating</w:t>
            </w:r>
            <w:r w:rsidR="003D76AE" w:rsidRPr="00DA4B74">
              <w:rPr>
                <w:b/>
                <w:bCs/>
                <w:sz w:val="22"/>
              </w:rPr>
              <w:t>-</w:t>
            </w:r>
            <w:r w:rsidRPr="00DA4B74">
              <w:rPr>
                <w:b/>
                <w:bCs/>
                <w:sz w:val="22"/>
              </w:rPr>
              <w:t xml:space="preserve"> and capital perspective.  When preparing financial statements, the net revenue or expenditure included in the municipality’s Statement of Financial Performance will be transferred to the Housing Development Fund through the Statement of Changes in Community Wealth.  In this way, there will be compliance with the housing legislation and the new accounting standards.</w:t>
            </w:r>
          </w:p>
          <w:p w:rsidR="00EA4BC1" w:rsidRPr="00DA4B74" w:rsidRDefault="00EA4BC1" w:rsidP="00DA4B74">
            <w:pPr>
              <w:spacing w:before="120" w:after="120" w:line="240" w:lineRule="auto"/>
              <w:jc w:val="both"/>
              <w:rPr>
                <w:b/>
                <w:bCs/>
                <w:sz w:val="22"/>
              </w:rPr>
            </w:pPr>
            <w:r w:rsidRPr="00DA4B74">
              <w:rPr>
                <w:b/>
                <w:bCs/>
                <w:sz w:val="22"/>
              </w:rPr>
              <w:t xml:space="preserve">New scheme housing </w:t>
            </w:r>
          </w:p>
          <w:p w:rsidR="00EA4BC1" w:rsidRPr="00DA4B74" w:rsidRDefault="00EA4BC1" w:rsidP="00DA4B74">
            <w:pPr>
              <w:spacing w:before="120" w:after="120" w:line="240" w:lineRule="auto"/>
              <w:jc w:val="both"/>
              <w:rPr>
                <w:bCs/>
                <w:sz w:val="22"/>
              </w:rPr>
            </w:pPr>
            <w:r w:rsidRPr="00DA4B74">
              <w:rPr>
                <w:b/>
                <w:bCs/>
                <w:sz w:val="22"/>
              </w:rPr>
              <w:t xml:space="preserve">Housing developments based on the new scheme are operational transactions.  The subsidy received from the provincial government is revenue and must be included in the Statement of Financial Performance.  Houses developed under the new scheme are not under the control of the municipality and the subsidy is therefore not a capital receipt.  Development costs are an expense, excluding those that relate to infrastructure and community assets that will be under the control of the municipality, which must be capitalised.  Municipalities up to now have not been budgeting for new scheme housing correctly.  In terms of GAMAP, operational transactions will have to be included in the income statement and budgeted for accordingly.  This may have practical implications owing to the long-term nature of such projects, but this will need to be managed.  </w:t>
            </w:r>
          </w:p>
          <w:p w:rsidR="000A4A24" w:rsidRPr="00DA4B74" w:rsidRDefault="00EA4BC1" w:rsidP="00DA4B74">
            <w:pPr>
              <w:spacing w:before="120" w:after="120" w:line="240" w:lineRule="auto"/>
              <w:jc w:val="both"/>
              <w:rPr>
                <w:b/>
                <w:bCs/>
                <w:sz w:val="22"/>
              </w:rPr>
            </w:pPr>
            <w:r w:rsidRPr="00DA4B74">
              <w:rPr>
                <w:b/>
                <w:bCs/>
                <w:sz w:val="22"/>
              </w:rPr>
              <w:t xml:space="preserve">Processing of Township Development Suspense Account </w:t>
            </w:r>
          </w:p>
          <w:p w:rsidR="00B01319" w:rsidRPr="00DA4B74" w:rsidRDefault="00EA4BC1" w:rsidP="00DA4B74">
            <w:pPr>
              <w:spacing w:before="120" w:after="120" w:line="240" w:lineRule="auto"/>
              <w:jc w:val="both"/>
              <w:rPr>
                <w:bCs/>
                <w:sz w:val="22"/>
              </w:rPr>
            </w:pPr>
            <w:r w:rsidRPr="00DA4B74">
              <w:rPr>
                <w:b/>
                <w:bCs/>
                <w:sz w:val="22"/>
              </w:rPr>
              <w:t>Property developments that have been undertaken and funded by the municipality also need to</w:t>
            </w:r>
            <w:r w:rsidR="000A4A24" w:rsidRPr="00DA4B74">
              <w:rPr>
                <w:b/>
                <w:bCs/>
                <w:sz w:val="22"/>
              </w:rPr>
              <w:t xml:space="preserve"> </w:t>
            </w:r>
            <w:r w:rsidRPr="00DA4B74">
              <w:rPr>
                <w:b/>
                <w:bCs/>
                <w:sz w:val="22"/>
              </w:rPr>
              <w:t xml:space="preserve">be identified and recognised in the annual financial statements. </w:t>
            </w:r>
            <w:r w:rsidR="000A4A24" w:rsidRPr="00DA4B74">
              <w:rPr>
                <w:b/>
                <w:bCs/>
                <w:sz w:val="22"/>
              </w:rPr>
              <w:t xml:space="preserve"> </w:t>
            </w:r>
            <w:r w:rsidRPr="00DA4B74">
              <w:rPr>
                <w:b/>
                <w:bCs/>
                <w:sz w:val="22"/>
              </w:rPr>
              <w:t>In most cases these</w:t>
            </w:r>
            <w:r w:rsidR="000A4A24" w:rsidRPr="00DA4B74">
              <w:rPr>
                <w:b/>
                <w:bCs/>
                <w:sz w:val="22"/>
              </w:rPr>
              <w:t xml:space="preserve"> </w:t>
            </w:r>
            <w:r w:rsidRPr="00DA4B74">
              <w:rPr>
                <w:b/>
                <w:bCs/>
                <w:sz w:val="22"/>
              </w:rPr>
              <w:t>developments will be done through a Township Development Suspense Account, which is</w:t>
            </w:r>
            <w:r w:rsidR="000A4A24" w:rsidRPr="00DA4B74">
              <w:rPr>
                <w:b/>
                <w:bCs/>
                <w:sz w:val="22"/>
              </w:rPr>
              <w:t xml:space="preserve"> </w:t>
            </w:r>
            <w:r w:rsidRPr="00DA4B74">
              <w:rPr>
                <w:b/>
                <w:bCs/>
                <w:sz w:val="22"/>
              </w:rPr>
              <w:t>included in the Statement of Financial Position as either a net debit or credit balance.</w:t>
            </w:r>
            <w:r w:rsidR="000A4A24" w:rsidRPr="00DA4B74">
              <w:rPr>
                <w:b/>
                <w:bCs/>
                <w:sz w:val="22"/>
              </w:rPr>
              <w:t xml:space="preserve"> </w:t>
            </w:r>
            <w:r w:rsidRPr="00DA4B74">
              <w:rPr>
                <w:b/>
                <w:bCs/>
                <w:sz w:val="22"/>
              </w:rPr>
              <w:t xml:space="preserve"> All</w:t>
            </w:r>
            <w:r w:rsidR="000A4A24" w:rsidRPr="00DA4B74">
              <w:rPr>
                <w:b/>
                <w:bCs/>
                <w:sz w:val="22"/>
              </w:rPr>
              <w:t xml:space="preserve"> </w:t>
            </w:r>
            <w:r w:rsidRPr="00DA4B74">
              <w:rPr>
                <w:b/>
                <w:bCs/>
                <w:sz w:val="22"/>
              </w:rPr>
              <w:t>transactions, including the cost of development and revenue from the sales of properties, are</w:t>
            </w:r>
            <w:r w:rsidR="000A4A24" w:rsidRPr="00DA4B74">
              <w:rPr>
                <w:b/>
                <w:bCs/>
                <w:sz w:val="22"/>
              </w:rPr>
              <w:t xml:space="preserve"> </w:t>
            </w:r>
            <w:r w:rsidRPr="00DA4B74">
              <w:rPr>
                <w:b/>
                <w:bCs/>
                <w:sz w:val="22"/>
              </w:rPr>
              <w:t>included in the Township Development Suspense Account.</w:t>
            </w:r>
            <w:r w:rsidR="000A4A24" w:rsidRPr="00DA4B74">
              <w:rPr>
                <w:b/>
                <w:bCs/>
                <w:sz w:val="22"/>
              </w:rPr>
              <w:t xml:space="preserve">  </w:t>
            </w:r>
            <w:r w:rsidRPr="00DA4B74">
              <w:rPr>
                <w:b/>
                <w:bCs/>
                <w:sz w:val="22"/>
              </w:rPr>
              <w:t>Where possible, the costs relating to each separate development should be identified together</w:t>
            </w:r>
            <w:r w:rsidR="000A4A24" w:rsidRPr="00DA4B74">
              <w:rPr>
                <w:b/>
                <w:bCs/>
                <w:sz w:val="22"/>
              </w:rPr>
              <w:t xml:space="preserve"> </w:t>
            </w:r>
            <w:r w:rsidRPr="00DA4B74">
              <w:rPr>
                <w:b/>
                <w:bCs/>
                <w:sz w:val="22"/>
              </w:rPr>
              <w:t>with the number of stands in such development.</w:t>
            </w:r>
            <w:r w:rsidR="000A4A24" w:rsidRPr="00DA4B74">
              <w:rPr>
                <w:b/>
                <w:bCs/>
                <w:sz w:val="22"/>
              </w:rPr>
              <w:t xml:space="preserve"> </w:t>
            </w:r>
            <w:r w:rsidRPr="00DA4B74">
              <w:rPr>
                <w:b/>
                <w:bCs/>
                <w:sz w:val="22"/>
              </w:rPr>
              <w:t xml:space="preserve"> In this way a unit cost can be determined for</w:t>
            </w:r>
            <w:r w:rsidR="000A4A24" w:rsidRPr="00DA4B74">
              <w:rPr>
                <w:b/>
                <w:bCs/>
                <w:sz w:val="22"/>
              </w:rPr>
              <w:t xml:space="preserve"> </w:t>
            </w:r>
            <w:r w:rsidRPr="00DA4B74">
              <w:rPr>
                <w:b/>
                <w:bCs/>
                <w:sz w:val="22"/>
              </w:rPr>
              <w:t>each stand.</w:t>
            </w:r>
            <w:r w:rsidR="000A4A24" w:rsidRPr="00DA4B74">
              <w:rPr>
                <w:b/>
                <w:bCs/>
                <w:sz w:val="22"/>
              </w:rPr>
              <w:t xml:space="preserve"> </w:t>
            </w:r>
            <w:r w:rsidRPr="00DA4B74">
              <w:rPr>
                <w:b/>
                <w:bCs/>
                <w:sz w:val="22"/>
              </w:rPr>
              <w:t xml:space="preserve"> Where these costs cannot be accurately determined, an estimate should be made.</w:t>
            </w:r>
            <w:r w:rsidR="000A4A24" w:rsidRPr="00DA4B74">
              <w:rPr>
                <w:b/>
                <w:bCs/>
                <w:sz w:val="22"/>
              </w:rPr>
              <w:t xml:space="preserve">  </w:t>
            </w:r>
          </w:p>
          <w:p w:rsidR="00B01319" w:rsidRPr="00DA4B74" w:rsidRDefault="00EA4BC1" w:rsidP="00DA4B74">
            <w:pPr>
              <w:spacing w:before="120" w:after="120" w:line="240" w:lineRule="auto"/>
              <w:jc w:val="both"/>
              <w:rPr>
                <w:bCs/>
                <w:sz w:val="22"/>
              </w:rPr>
            </w:pPr>
            <w:r w:rsidRPr="00DA4B74">
              <w:rPr>
                <w:b/>
                <w:bCs/>
                <w:sz w:val="22"/>
              </w:rPr>
              <w:t>A key step is to identify all the infrastructure costs that will remain the property of the</w:t>
            </w:r>
            <w:r w:rsidR="000A4A24" w:rsidRPr="00DA4B74">
              <w:rPr>
                <w:b/>
                <w:bCs/>
                <w:sz w:val="22"/>
              </w:rPr>
              <w:t xml:space="preserve"> </w:t>
            </w:r>
            <w:r w:rsidRPr="00DA4B74">
              <w:rPr>
                <w:b/>
                <w:bCs/>
                <w:sz w:val="22"/>
              </w:rPr>
              <w:t>municipality.</w:t>
            </w:r>
            <w:r w:rsidR="000A4A24" w:rsidRPr="00DA4B74">
              <w:rPr>
                <w:b/>
                <w:bCs/>
                <w:sz w:val="22"/>
              </w:rPr>
              <w:t xml:space="preserve"> </w:t>
            </w:r>
            <w:r w:rsidRPr="00DA4B74">
              <w:rPr>
                <w:b/>
                <w:bCs/>
                <w:sz w:val="22"/>
              </w:rPr>
              <w:t xml:space="preserve"> These should be identified and transferred to property, plant and equipment.</w:t>
            </w:r>
            <w:r w:rsidR="000A4A24" w:rsidRPr="00DA4B74">
              <w:rPr>
                <w:b/>
                <w:bCs/>
                <w:sz w:val="22"/>
              </w:rPr>
              <w:t xml:space="preserve">  </w:t>
            </w:r>
            <w:r w:rsidRPr="00DA4B74">
              <w:rPr>
                <w:b/>
                <w:bCs/>
                <w:sz w:val="22"/>
              </w:rPr>
              <w:t>Again, if there are inadequate accounting records, estimates based on fair value should be made</w:t>
            </w:r>
            <w:r w:rsidR="000A4A24" w:rsidRPr="00DA4B74">
              <w:rPr>
                <w:b/>
                <w:bCs/>
                <w:sz w:val="22"/>
              </w:rPr>
              <w:t xml:space="preserve"> </w:t>
            </w:r>
            <w:r w:rsidRPr="00DA4B74">
              <w:rPr>
                <w:b/>
                <w:bCs/>
                <w:sz w:val="22"/>
              </w:rPr>
              <w:t xml:space="preserve">and used to record these items of property, plant and equipment. </w:t>
            </w:r>
            <w:r w:rsidR="000A4A24" w:rsidRPr="00DA4B74">
              <w:rPr>
                <w:b/>
                <w:bCs/>
                <w:sz w:val="22"/>
              </w:rPr>
              <w:t xml:space="preserve"> </w:t>
            </w:r>
            <w:r w:rsidRPr="00DA4B74">
              <w:rPr>
                <w:b/>
                <w:bCs/>
                <w:sz w:val="22"/>
              </w:rPr>
              <w:t>These amounts must be</w:t>
            </w:r>
            <w:r w:rsidR="000A4A24" w:rsidRPr="00DA4B74">
              <w:rPr>
                <w:b/>
                <w:bCs/>
                <w:sz w:val="22"/>
              </w:rPr>
              <w:t xml:space="preserve"> </w:t>
            </w:r>
            <w:r w:rsidRPr="00DA4B74">
              <w:rPr>
                <w:b/>
                <w:bCs/>
                <w:sz w:val="22"/>
              </w:rPr>
              <w:t>excluded from the unit cost per stand.</w:t>
            </w:r>
            <w:r w:rsidR="000A4A24" w:rsidRPr="00DA4B74">
              <w:rPr>
                <w:b/>
                <w:bCs/>
                <w:sz w:val="22"/>
              </w:rPr>
              <w:t xml:space="preserve">  </w:t>
            </w:r>
            <w:r w:rsidRPr="00DA4B74">
              <w:rPr>
                <w:b/>
                <w:bCs/>
                <w:sz w:val="22"/>
              </w:rPr>
              <w:t>Once this has been done, the Township Development Suspense Accounts can be unbundled.</w:t>
            </w:r>
            <w:r w:rsidR="000A4A24" w:rsidRPr="00DA4B74">
              <w:rPr>
                <w:b/>
                <w:bCs/>
                <w:sz w:val="22"/>
              </w:rPr>
              <w:t xml:space="preserve">  </w:t>
            </w:r>
          </w:p>
          <w:p w:rsidR="000A4A24" w:rsidRPr="00DA4B74" w:rsidRDefault="00EA4BC1" w:rsidP="00DA4B74">
            <w:pPr>
              <w:spacing w:before="120" w:after="120" w:line="240" w:lineRule="auto"/>
              <w:jc w:val="both"/>
              <w:rPr>
                <w:bCs/>
                <w:sz w:val="22"/>
              </w:rPr>
            </w:pPr>
            <w:r w:rsidRPr="00DA4B74">
              <w:rPr>
                <w:b/>
                <w:bCs/>
                <w:sz w:val="22"/>
              </w:rPr>
              <w:t>This is done by determining a cost per unsold stand and transferring that amount to a property</w:t>
            </w:r>
            <w:r w:rsidR="000A4A24" w:rsidRPr="00DA4B74">
              <w:rPr>
                <w:b/>
                <w:bCs/>
                <w:sz w:val="22"/>
              </w:rPr>
              <w:t xml:space="preserve"> </w:t>
            </w:r>
            <w:r w:rsidRPr="00DA4B74">
              <w:rPr>
                <w:b/>
                <w:bCs/>
                <w:sz w:val="22"/>
              </w:rPr>
              <w:t xml:space="preserve">development account. This will be based on the unit cost per unsold stand. </w:t>
            </w:r>
            <w:r w:rsidR="000A4A24" w:rsidRPr="00DA4B74">
              <w:rPr>
                <w:b/>
                <w:bCs/>
                <w:sz w:val="22"/>
              </w:rPr>
              <w:t xml:space="preserve"> </w:t>
            </w:r>
            <w:r w:rsidRPr="00DA4B74">
              <w:rPr>
                <w:b/>
                <w:bCs/>
                <w:sz w:val="22"/>
              </w:rPr>
              <w:t>The balance on the</w:t>
            </w:r>
            <w:r w:rsidR="000A4A24" w:rsidRPr="00DA4B74">
              <w:rPr>
                <w:b/>
                <w:bCs/>
                <w:sz w:val="22"/>
              </w:rPr>
              <w:t xml:space="preserve"> </w:t>
            </w:r>
            <w:r w:rsidRPr="00DA4B74">
              <w:rPr>
                <w:b/>
                <w:bCs/>
                <w:sz w:val="22"/>
              </w:rPr>
              <w:t>Township Development Suspense Account, after the transfer of the cost of unsold units, should</w:t>
            </w:r>
            <w:r w:rsidR="000A4A24" w:rsidRPr="00DA4B74">
              <w:rPr>
                <w:b/>
                <w:bCs/>
                <w:sz w:val="22"/>
              </w:rPr>
              <w:t xml:space="preserve"> </w:t>
            </w:r>
            <w:r w:rsidRPr="00DA4B74">
              <w:rPr>
                <w:b/>
                <w:bCs/>
                <w:sz w:val="22"/>
              </w:rPr>
              <w:t xml:space="preserve">be transferred to the Statement of Financial Performance. </w:t>
            </w:r>
            <w:r w:rsidR="000A4A24" w:rsidRPr="00DA4B74">
              <w:rPr>
                <w:b/>
                <w:bCs/>
                <w:sz w:val="22"/>
              </w:rPr>
              <w:t xml:space="preserve"> </w:t>
            </w:r>
            <w:r w:rsidRPr="00DA4B74">
              <w:rPr>
                <w:b/>
                <w:bCs/>
                <w:sz w:val="22"/>
              </w:rPr>
              <w:t>This will reflect whether historically</w:t>
            </w:r>
            <w:r w:rsidR="000A4A24" w:rsidRPr="00DA4B74">
              <w:rPr>
                <w:b/>
                <w:bCs/>
                <w:sz w:val="22"/>
              </w:rPr>
              <w:t xml:space="preserve"> </w:t>
            </w:r>
            <w:r w:rsidRPr="00DA4B74">
              <w:rPr>
                <w:b/>
                <w:bCs/>
                <w:sz w:val="22"/>
              </w:rPr>
              <w:t>surpluses or losses have been incurred on previous property developments.</w:t>
            </w:r>
            <w:r w:rsidR="000A4A24" w:rsidRPr="00DA4B74">
              <w:rPr>
                <w:b/>
                <w:bCs/>
                <w:sz w:val="22"/>
              </w:rPr>
              <w:t xml:space="preserve">  </w:t>
            </w:r>
            <w:r w:rsidRPr="00DA4B74">
              <w:rPr>
                <w:b/>
                <w:bCs/>
                <w:sz w:val="22"/>
              </w:rPr>
              <w:t>After implementation, proceeds from the sale of stands will be recorded as revenue.</w:t>
            </w:r>
            <w:r w:rsidR="000A4A24" w:rsidRPr="00DA4B74">
              <w:rPr>
                <w:b/>
                <w:bCs/>
                <w:sz w:val="22"/>
              </w:rPr>
              <w:t xml:space="preserve"> </w:t>
            </w:r>
            <w:r w:rsidRPr="00DA4B74">
              <w:rPr>
                <w:b/>
                <w:bCs/>
                <w:sz w:val="22"/>
              </w:rPr>
              <w:t xml:space="preserve"> The unit</w:t>
            </w:r>
            <w:r w:rsidR="000A4A24" w:rsidRPr="00DA4B74">
              <w:rPr>
                <w:b/>
                <w:bCs/>
                <w:sz w:val="22"/>
              </w:rPr>
              <w:t xml:space="preserve"> </w:t>
            </w:r>
            <w:r w:rsidRPr="00DA4B74">
              <w:rPr>
                <w:b/>
                <w:bCs/>
                <w:sz w:val="22"/>
              </w:rPr>
              <w:t>cost of any stand sold will be recorded as an expense, resulting in either a surplus or deficit on</w:t>
            </w:r>
            <w:r w:rsidR="000A4A24" w:rsidRPr="00DA4B74">
              <w:rPr>
                <w:b/>
                <w:bCs/>
                <w:sz w:val="22"/>
              </w:rPr>
              <w:t xml:space="preserve"> </w:t>
            </w:r>
            <w:r w:rsidRPr="00DA4B74">
              <w:rPr>
                <w:b/>
                <w:bCs/>
                <w:sz w:val="22"/>
              </w:rPr>
              <w:t>disposal.</w:t>
            </w:r>
            <w:r w:rsidR="000A4A24" w:rsidRPr="00DA4B74">
              <w:rPr>
                <w:b/>
                <w:bCs/>
                <w:sz w:val="22"/>
              </w:rPr>
              <w:t xml:space="preserve">  </w:t>
            </w:r>
          </w:p>
          <w:p w:rsidR="000A4A24" w:rsidRPr="00DA4B74" w:rsidRDefault="00EA4BC1" w:rsidP="00DA4B74">
            <w:pPr>
              <w:spacing w:before="120" w:after="120" w:line="240" w:lineRule="auto"/>
              <w:jc w:val="both"/>
              <w:rPr>
                <w:b/>
                <w:bCs/>
                <w:sz w:val="22"/>
              </w:rPr>
            </w:pPr>
            <w:r w:rsidRPr="00DA4B74">
              <w:rPr>
                <w:b/>
                <w:bCs/>
                <w:sz w:val="22"/>
              </w:rPr>
              <w:t>Conclusion</w:t>
            </w:r>
            <w:r w:rsidR="000A4A24" w:rsidRPr="00DA4B74">
              <w:rPr>
                <w:b/>
                <w:bCs/>
                <w:sz w:val="22"/>
              </w:rPr>
              <w:t xml:space="preserve">  </w:t>
            </w:r>
          </w:p>
          <w:p w:rsidR="009700C9" w:rsidRPr="00DA4B74" w:rsidRDefault="00EA4BC1" w:rsidP="00DA4B74">
            <w:pPr>
              <w:spacing w:before="120" w:after="120" w:line="240" w:lineRule="auto"/>
              <w:jc w:val="both"/>
              <w:rPr>
                <w:bCs/>
                <w:sz w:val="22"/>
              </w:rPr>
            </w:pPr>
            <w:r w:rsidRPr="00DA4B74">
              <w:rPr>
                <w:b/>
                <w:bCs/>
                <w:sz w:val="22"/>
              </w:rPr>
              <w:t>Once accounting standards have been implemented, there will be budgetary implications arising</w:t>
            </w:r>
            <w:r w:rsidR="000A4A24" w:rsidRPr="00DA4B74">
              <w:rPr>
                <w:b/>
                <w:bCs/>
                <w:sz w:val="22"/>
              </w:rPr>
              <w:t xml:space="preserve"> </w:t>
            </w:r>
            <w:r w:rsidRPr="00DA4B74">
              <w:rPr>
                <w:b/>
                <w:bCs/>
                <w:sz w:val="22"/>
              </w:rPr>
              <w:t xml:space="preserve">from housing activities. </w:t>
            </w:r>
            <w:r w:rsidR="000A4A24" w:rsidRPr="00DA4B74">
              <w:rPr>
                <w:b/>
                <w:bCs/>
                <w:sz w:val="22"/>
              </w:rPr>
              <w:t xml:space="preserve"> </w:t>
            </w:r>
            <w:r w:rsidRPr="00DA4B74">
              <w:rPr>
                <w:b/>
                <w:bCs/>
                <w:sz w:val="22"/>
              </w:rPr>
              <w:t xml:space="preserve">These transactions will need to be budgeted for. </w:t>
            </w:r>
            <w:r w:rsidR="000A4A24" w:rsidRPr="00DA4B74">
              <w:rPr>
                <w:b/>
                <w:bCs/>
                <w:sz w:val="22"/>
              </w:rPr>
              <w:t xml:space="preserve"> </w:t>
            </w:r>
            <w:r w:rsidRPr="00DA4B74">
              <w:rPr>
                <w:b/>
                <w:bCs/>
                <w:sz w:val="22"/>
              </w:rPr>
              <w:t>From an accounting</w:t>
            </w:r>
            <w:r w:rsidR="000A4A24" w:rsidRPr="00DA4B74">
              <w:rPr>
                <w:b/>
                <w:bCs/>
                <w:sz w:val="22"/>
              </w:rPr>
              <w:t xml:space="preserve"> </w:t>
            </w:r>
            <w:r w:rsidRPr="00DA4B74">
              <w:rPr>
                <w:b/>
                <w:bCs/>
                <w:sz w:val="22"/>
              </w:rPr>
              <w:t>perspective, housing will be included in the Statement of Financial Performance</w:t>
            </w:r>
            <w:r w:rsidR="000A4A24" w:rsidRPr="00DA4B74">
              <w:rPr>
                <w:b/>
                <w:bCs/>
                <w:sz w:val="22"/>
              </w:rPr>
              <w:t>.</w:t>
            </w:r>
          </w:p>
          <w:p w:rsidR="00442E90" w:rsidRPr="00DA4B74" w:rsidRDefault="00442E90" w:rsidP="00DA4B74">
            <w:pPr>
              <w:spacing w:before="120" w:after="120" w:line="240" w:lineRule="auto"/>
              <w:jc w:val="both"/>
              <w:rPr>
                <w:bCs/>
                <w:sz w:val="22"/>
              </w:rPr>
            </w:pPr>
            <w:r w:rsidRPr="00DA4B74">
              <w:rPr>
                <w:b/>
                <w:bCs/>
                <w:sz w:val="22"/>
              </w:rPr>
              <w:t>[Reference:  Chapter 7 of the National Treasury Guidelines for the Implementation of Accounting Standards of Generally Recognised Accounting Practice]</w:t>
            </w:r>
          </w:p>
        </w:tc>
      </w:tr>
      <w:tr w:rsidR="00AF7175" w:rsidRPr="00DA4B74" w:rsidTr="00DA4B74">
        <w:tc>
          <w:tcPr>
            <w:tcW w:w="1136" w:type="pct"/>
            <w:shd w:val="clear" w:color="auto" w:fill="auto"/>
          </w:tcPr>
          <w:p w:rsidR="009700C9" w:rsidRPr="00DA4B74" w:rsidRDefault="0021572D" w:rsidP="00DA4B74">
            <w:pPr>
              <w:spacing w:before="120" w:after="120" w:line="240" w:lineRule="auto"/>
              <w:jc w:val="both"/>
              <w:rPr>
                <w:b/>
                <w:bCs/>
                <w:sz w:val="22"/>
              </w:rPr>
            </w:pPr>
            <w:r w:rsidRPr="00DA4B74">
              <w:rPr>
                <w:b/>
                <w:bCs/>
                <w:sz w:val="22"/>
              </w:rPr>
              <w:t>RESERVES</w:t>
            </w:r>
          </w:p>
        </w:tc>
        <w:tc>
          <w:tcPr>
            <w:tcW w:w="1024" w:type="pct"/>
            <w:shd w:val="clear" w:color="auto" w:fill="auto"/>
          </w:tcPr>
          <w:p w:rsidR="009700C9" w:rsidRPr="00DA4B74" w:rsidRDefault="009700C9" w:rsidP="00DA4B74">
            <w:pPr>
              <w:spacing w:before="120" w:after="120" w:line="240" w:lineRule="auto"/>
              <w:jc w:val="both"/>
              <w:rPr>
                <w:sz w:val="22"/>
              </w:rPr>
            </w:pPr>
          </w:p>
        </w:tc>
        <w:tc>
          <w:tcPr>
            <w:tcW w:w="1705" w:type="pct"/>
            <w:shd w:val="clear" w:color="auto" w:fill="auto"/>
          </w:tcPr>
          <w:p w:rsidR="009700C9" w:rsidRPr="00DA4B74" w:rsidRDefault="009700C9" w:rsidP="00DA4B74">
            <w:pPr>
              <w:spacing w:before="120" w:after="120" w:line="240" w:lineRule="auto"/>
              <w:jc w:val="both"/>
              <w:rPr>
                <w:sz w:val="22"/>
              </w:rPr>
            </w:pPr>
          </w:p>
        </w:tc>
        <w:tc>
          <w:tcPr>
            <w:tcW w:w="1135" w:type="pct"/>
            <w:shd w:val="clear" w:color="auto" w:fill="auto"/>
          </w:tcPr>
          <w:p w:rsidR="009700C9" w:rsidRPr="00DA4B74" w:rsidRDefault="009700C9" w:rsidP="00DA4B74">
            <w:pPr>
              <w:spacing w:before="120" w:after="120" w:line="240" w:lineRule="auto"/>
              <w:jc w:val="both"/>
              <w:rPr>
                <w:sz w:val="22"/>
              </w:rPr>
            </w:pPr>
          </w:p>
        </w:tc>
      </w:tr>
      <w:tr w:rsidR="00AF7175" w:rsidRPr="00DA4B74" w:rsidTr="00052202">
        <w:tc>
          <w:tcPr>
            <w:tcW w:w="1136" w:type="pct"/>
            <w:shd w:val="clear" w:color="auto" w:fill="D9D9D9" w:themeFill="background1" w:themeFillShade="D9"/>
          </w:tcPr>
          <w:p w:rsidR="0038692B" w:rsidRPr="00DA4B74" w:rsidRDefault="0038692B" w:rsidP="00DA4B74">
            <w:pPr>
              <w:spacing w:before="120" w:after="120" w:line="240" w:lineRule="auto"/>
              <w:jc w:val="both"/>
              <w:rPr>
                <w:bCs/>
                <w:sz w:val="22"/>
              </w:rPr>
            </w:pPr>
            <w:r w:rsidRPr="00DA4B74">
              <w:rPr>
                <w:b/>
                <w:bCs/>
                <w:sz w:val="22"/>
              </w:rPr>
              <w:t>Maintenance of Roads</w:t>
            </w:r>
          </w:p>
        </w:tc>
        <w:tc>
          <w:tcPr>
            <w:tcW w:w="1024" w:type="pct"/>
            <w:shd w:val="clear" w:color="auto" w:fill="D9D9D9" w:themeFill="background1" w:themeFillShade="D9"/>
          </w:tcPr>
          <w:p w:rsidR="0038692B" w:rsidRPr="00DA4B74" w:rsidRDefault="0038692B" w:rsidP="00DA4B74">
            <w:pPr>
              <w:spacing w:before="120" w:after="120" w:line="240" w:lineRule="auto"/>
              <w:jc w:val="both"/>
              <w:rPr>
                <w:sz w:val="22"/>
              </w:rPr>
            </w:pPr>
            <w:r w:rsidRPr="00DA4B74">
              <w:rPr>
                <w:sz w:val="22"/>
              </w:rPr>
              <w:t>Reverse</w:t>
            </w:r>
          </w:p>
        </w:tc>
        <w:tc>
          <w:tcPr>
            <w:tcW w:w="1705" w:type="pct"/>
            <w:vMerge w:val="restart"/>
            <w:shd w:val="clear" w:color="auto" w:fill="D9D9D9" w:themeFill="background1" w:themeFillShade="D9"/>
          </w:tcPr>
          <w:p w:rsidR="0038692B" w:rsidRPr="00DA4B74" w:rsidRDefault="0038692B" w:rsidP="00DA4B74">
            <w:pPr>
              <w:spacing w:before="120" w:after="120" w:line="240" w:lineRule="auto"/>
              <w:jc w:val="both"/>
              <w:rPr>
                <w:sz w:val="22"/>
              </w:rPr>
            </w:pPr>
            <w:r w:rsidRPr="00DA4B74">
              <w:rPr>
                <w:sz w:val="22"/>
              </w:rPr>
              <w:t xml:space="preserve">The general rule is that an Asset Financing Reserve </w:t>
            </w:r>
            <w:r w:rsidR="00C67F00" w:rsidRPr="00DA4B74">
              <w:rPr>
                <w:sz w:val="22"/>
              </w:rPr>
              <w:t xml:space="preserve">(AFR) </w:t>
            </w:r>
            <w:r w:rsidRPr="00DA4B74">
              <w:rPr>
                <w:sz w:val="22"/>
              </w:rPr>
              <w:t xml:space="preserve">must be created.  The Asset Financing Reserve </w:t>
            </w:r>
            <w:r w:rsidR="00C67F00" w:rsidRPr="00DA4B74">
              <w:rPr>
                <w:sz w:val="22"/>
              </w:rPr>
              <w:t xml:space="preserve">(AFR) </w:t>
            </w:r>
            <w:r w:rsidRPr="00DA4B74">
              <w:rPr>
                <w:sz w:val="22"/>
              </w:rPr>
              <w:t xml:space="preserve">is established from existing statutory funds, excluding the Housing Development Fund.  In terms of the new capital accounting model, the Future Depreciation Reserves must be created.  </w:t>
            </w:r>
          </w:p>
        </w:tc>
        <w:tc>
          <w:tcPr>
            <w:tcW w:w="1135" w:type="pct"/>
            <w:vMerge w:val="restart"/>
            <w:shd w:val="clear" w:color="auto" w:fill="D9D9D9" w:themeFill="background1" w:themeFillShade="D9"/>
          </w:tcPr>
          <w:p w:rsidR="0038692B" w:rsidRPr="00DA4B74" w:rsidRDefault="0038692B" w:rsidP="00DA4B74">
            <w:pPr>
              <w:spacing w:before="120" w:after="120" w:line="240" w:lineRule="auto"/>
              <w:jc w:val="both"/>
              <w:rPr>
                <w:sz w:val="22"/>
              </w:rPr>
            </w:pPr>
            <w:r w:rsidRPr="00DA4B74">
              <w:rPr>
                <w:sz w:val="22"/>
              </w:rPr>
              <w:t>Asset Financing Reserve</w:t>
            </w:r>
            <w:r w:rsidR="00C67F00" w:rsidRPr="00DA4B74">
              <w:rPr>
                <w:sz w:val="22"/>
              </w:rPr>
              <w:t xml:space="preserve"> (AFR)</w:t>
            </w:r>
          </w:p>
          <w:p w:rsidR="0038692B" w:rsidRPr="00DA4B74" w:rsidRDefault="0038692B" w:rsidP="00DA4B74">
            <w:pPr>
              <w:spacing w:before="120" w:after="120" w:line="240" w:lineRule="auto"/>
              <w:jc w:val="both"/>
              <w:rPr>
                <w:sz w:val="22"/>
              </w:rPr>
            </w:pPr>
            <w:r w:rsidRPr="00DA4B74">
              <w:rPr>
                <w:sz w:val="22"/>
              </w:rPr>
              <w:t>Future Depreciation Reserves</w:t>
            </w:r>
          </w:p>
        </w:tc>
      </w:tr>
      <w:tr w:rsidR="00AF7175" w:rsidRPr="00DA4B74" w:rsidTr="00DA4B74">
        <w:tc>
          <w:tcPr>
            <w:tcW w:w="1136" w:type="pct"/>
            <w:shd w:val="clear" w:color="auto" w:fill="auto"/>
          </w:tcPr>
          <w:p w:rsidR="0038692B" w:rsidRPr="00DA4B74" w:rsidRDefault="0038692B" w:rsidP="00DA4B74">
            <w:pPr>
              <w:spacing w:before="120" w:after="120" w:line="240" w:lineRule="auto"/>
              <w:jc w:val="both"/>
              <w:rPr>
                <w:bCs/>
                <w:sz w:val="22"/>
              </w:rPr>
            </w:pPr>
            <w:r w:rsidRPr="00DA4B74">
              <w:rPr>
                <w:b/>
                <w:bCs/>
                <w:sz w:val="22"/>
              </w:rPr>
              <w:t>Developers Contribution</w:t>
            </w:r>
          </w:p>
        </w:tc>
        <w:tc>
          <w:tcPr>
            <w:tcW w:w="1024" w:type="pct"/>
            <w:shd w:val="clear" w:color="auto" w:fill="auto"/>
          </w:tcPr>
          <w:p w:rsidR="0038692B" w:rsidRPr="00DA4B74" w:rsidRDefault="0038692B" w:rsidP="00DA4B74">
            <w:pPr>
              <w:spacing w:before="120" w:after="120" w:line="240" w:lineRule="auto"/>
              <w:jc w:val="both"/>
              <w:rPr>
                <w:sz w:val="22"/>
              </w:rPr>
            </w:pPr>
            <w:r w:rsidRPr="00DA4B74">
              <w:rPr>
                <w:sz w:val="22"/>
              </w:rPr>
              <w:t>Transfers to liabilities or include in unappropriated surplus</w:t>
            </w:r>
          </w:p>
        </w:tc>
        <w:tc>
          <w:tcPr>
            <w:tcW w:w="1705" w:type="pct"/>
            <w:vMerge/>
            <w:shd w:val="clear" w:color="auto" w:fill="auto"/>
          </w:tcPr>
          <w:p w:rsidR="0038692B" w:rsidRPr="00DA4B74" w:rsidRDefault="0038692B" w:rsidP="00DA4B74">
            <w:pPr>
              <w:spacing w:before="120" w:after="120" w:line="240" w:lineRule="auto"/>
              <w:jc w:val="both"/>
              <w:rPr>
                <w:sz w:val="22"/>
              </w:rPr>
            </w:pPr>
          </w:p>
        </w:tc>
        <w:tc>
          <w:tcPr>
            <w:tcW w:w="1135" w:type="pct"/>
            <w:vMerge/>
            <w:shd w:val="clear" w:color="auto" w:fill="auto"/>
          </w:tcPr>
          <w:p w:rsidR="0038692B" w:rsidRPr="00DA4B74" w:rsidRDefault="0038692B" w:rsidP="00DA4B74">
            <w:pPr>
              <w:spacing w:before="120" w:after="120" w:line="240" w:lineRule="auto"/>
              <w:jc w:val="both"/>
              <w:rPr>
                <w:sz w:val="22"/>
              </w:rPr>
            </w:pPr>
          </w:p>
        </w:tc>
      </w:tr>
      <w:tr w:rsidR="005A5372" w:rsidRPr="00DA4B74" w:rsidTr="00052202">
        <w:tc>
          <w:tcPr>
            <w:tcW w:w="5000" w:type="pct"/>
            <w:gridSpan w:val="4"/>
            <w:shd w:val="clear" w:color="auto" w:fill="D9D9D9" w:themeFill="background1" w:themeFillShade="D9"/>
          </w:tcPr>
          <w:p w:rsidR="006E1A64" w:rsidRPr="00DA4B74" w:rsidRDefault="00E56CAB" w:rsidP="00DA4B74">
            <w:pPr>
              <w:keepNext/>
              <w:spacing w:before="120" w:after="120" w:line="240" w:lineRule="auto"/>
              <w:jc w:val="both"/>
              <w:rPr>
                <w:b/>
                <w:bCs/>
                <w:sz w:val="24"/>
              </w:rPr>
            </w:pPr>
            <w:r w:rsidRPr="00DA4B74">
              <w:rPr>
                <w:b/>
                <w:bCs/>
                <w:sz w:val="24"/>
              </w:rPr>
              <w:t>Principles for establishment of the Asset Financing Reserve</w:t>
            </w:r>
            <w:r w:rsidR="006E1A64" w:rsidRPr="00DA4B74">
              <w:rPr>
                <w:b/>
                <w:bCs/>
                <w:sz w:val="24"/>
              </w:rPr>
              <w:t xml:space="preserve"> </w:t>
            </w:r>
          </w:p>
          <w:p w:rsidR="00684F1E" w:rsidRPr="00DA4B74" w:rsidRDefault="00E56CAB" w:rsidP="00DA4B74">
            <w:pPr>
              <w:keepNext/>
              <w:spacing w:before="120" w:after="120" w:line="240" w:lineRule="auto"/>
              <w:jc w:val="both"/>
              <w:rPr>
                <w:bCs/>
                <w:sz w:val="24"/>
              </w:rPr>
            </w:pPr>
            <w:r w:rsidRPr="00DA4B74">
              <w:rPr>
                <w:b/>
                <w:bCs/>
                <w:sz w:val="24"/>
              </w:rPr>
              <w:t xml:space="preserve">The principles for establishing the Asset Financing Reserve </w:t>
            </w:r>
            <w:r w:rsidR="00684F1E" w:rsidRPr="00DA4B74">
              <w:rPr>
                <w:b/>
                <w:bCs/>
                <w:sz w:val="24"/>
              </w:rPr>
              <w:t xml:space="preserve">(AFR) </w:t>
            </w:r>
            <w:r w:rsidRPr="00DA4B74">
              <w:rPr>
                <w:b/>
                <w:bCs/>
                <w:sz w:val="24"/>
              </w:rPr>
              <w:t>are that all existing funds</w:t>
            </w:r>
            <w:r w:rsidR="006E1A64" w:rsidRPr="00DA4B74">
              <w:rPr>
                <w:b/>
                <w:bCs/>
                <w:sz w:val="24"/>
              </w:rPr>
              <w:t xml:space="preserve"> </w:t>
            </w:r>
            <w:r w:rsidRPr="00DA4B74">
              <w:rPr>
                <w:b/>
                <w:bCs/>
                <w:sz w:val="24"/>
              </w:rPr>
              <w:t>established in terms of the provincial ordinances should be consolidated into one reserve that</w:t>
            </w:r>
            <w:r w:rsidR="006E1A64" w:rsidRPr="00DA4B74">
              <w:rPr>
                <w:b/>
                <w:bCs/>
                <w:sz w:val="24"/>
              </w:rPr>
              <w:t xml:space="preserve"> </w:t>
            </w:r>
            <w:r w:rsidRPr="00DA4B74">
              <w:rPr>
                <w:b/>
                <w:bCs/>
                <w:sz w:val="24"/>
              </w:rPr>
              <w:t xml:space="preserve">will be called the </w:t>
            </w:r>
            <w:r w:rsidR="00C67F00" w:rsidRPr="00DA4B74">
              <w:rPr>
                <w:b/>
                <w:bCs/>
                <w:sz w:val="24"/>
              </w:rPr>
              <w:t>Asset Financing Reserve</w:t>
            </w:r>
            <w:r w:rsidR="00B862D0" w:rsidRPr="00DA4B74">
              <w:rPr>
                <w:b/>
                <w:bCs/>
                <w:sz w:val="24"/>
              </w:rPr>
              <w:t xml:space="preserve"> (AFR)</w:t>
            </w:r>
            <w:r w:rsidRPr="00DA4B74">
              <w:rPr>
                <w:b/>
                <w:bCs/>
                <w:sz w:val="24"/>
              </w:rPr>
              <w:t>.</w:t>
            </w:r>
            <w:r w:rsidR="006E1A64" w:rsidRPr="00DA4B74">
              <w:rPr>
                <w:b/>
                <w:bCs/>
                <w:sz w:val="24"/>
              </w:rPr>
              <w:t xml:space="preserve"> </w:t>
            </w:r>
            <w:r w:rsidRPr="00DA4B74">
              <w:rPr>
                <w:b/>
                <w:bCs/>
                <w:sz w:val="24"/>
              </w:rPr>
              <w:t xml:space="preserve"> The </w:t>
            </w:r>
            <w:r w:rsidR="00C67F00" w:rsidRPr="00DA4B74">
              <w:rPr>
                <w:b/>
                <w:bCs/>
                <w:sz w:val="24"/>
              </w:rPr>
              <w:t xml:space="preserve">Asset Financing Reserve </w:t>
            </w:r>
            <w:r w:rsidR="00B862D0" w:rsidRPr="00DA4B74">
              <w:rPr>
                <w:b/>
                <w:bCs/>
                <w:sz w:val="24"/>
              </w:rPr>
              <w:t>(AFR)</w:t>
            </w:r>
            <w:r w:rsidRPr="00DA4B74">
              <w:rPr>
                <w:b/>
                <w:bCs/>
                <w:sz w:val="24"/>
              </w:rPr>
              <w:t xml:space="preserve"> is equivalent to a savings account and only has one asset,</w:t>
            </w:r>
            <w:r w:rsidR="00684F1E" w:rsidRPr="00DA4B74">
              <w:rPr>
                <w:b/>
                <w:bCs/>
                <w:sz w:val="24"/>
              </w:rPr>
              <w:t xml:space="preserve"> </w:t>
            </w:r>
            <w:r w:rsidRPr="00DA4B74">
              <w:rPr>
                <w:b/>
                <w:bCs/>
                <w:sz w:val="24"/>
              </w:rPr>
              <w:t>namely a dedicated bank or investment account.</w:t>
            </w:r>
            <w:r w:rsidR="00684F1E" w:rsidRPr="00DA4B74">
              <w:rPr>
                <w:b/>
                <w:bCs/>
                <w:sz w:val="24"/>
              </w:rPr>
              <w:t xml:space="preserve">  </w:t>
            </w:r>
            <w:r w:rsidRPr="00DA4B74">
              <w:rPr>
                <w:b/>
                <w:bCs/>
                <w:sz w:val="24"/>
              </w:rPr>
              <w:t xml:space="preserve">Municipalities must first establish an </w:t>
            </w:r>
            <w:r w:rsidR="00C67F00" w:rsidRPr="00DA4B74">
              <w:rPr>
                <w:b/>
                <w:bCs/>
                <w:sz w:val="24"/>
              </w:rPr>
              <w:t xml:space="preserve">Asset Financing Reserve </w:t>
            </w:r>
            <w:r w:rsidR="00B862D0" w:rsidRPr="00DA4B74">
              <w:rPr>
                <w:b/>
                <w:bCs/>
                <w:sz w:val="24"/>
              </w:rPr>
              <w:t>(AFR)</w:t>
            </w:r>
            <w:r w:rsidRPr="00DA4B74">
              <w:rPr>
                <w:b/>
                <w:bCs/>
                <w:sz w:val="24"/>
              </w:rPr>
              <w:t xml:space="preserve"> on the implementation of accounting standards.</w:t>
            </w:r>
            <w:r w:rsidR="00684F1E" w:rsidRPr="00DA4B74">
              <w:rPr>
                <w:b/>
                <w:bCs/>
                <w:sz w:val="24"/>
              </w:rPr>
              <w:t xml:space="preserve">  </w:t>
            </w:r>
            <w:r w:rsidRPr="00DA4B74">
              <w:rPr>
                <w:b/>
                <w:bCs/>
                <w:sz w:val="24"/>
              </w:rPr>
              <w:t xml:space="preserve">Once a draft </w:t>
            </w:r>
            <w:r w:rsidR="00C67F00" w:rsidRPr="00DA4B74">
              <w:rPr>
                <w:b/>
                <w:bCs/>
                <w:sz w:val="24"/>
              </w:rPr>
              <w:t>Asset Financing Reserve</w:t>
            </w:r>
            <w:r w:rsidR="00B862D0" w:rsidRPr="00DA4B74">
              <w:rPr>
                <w:b/>
                <w:bCs/>
                <w:sz w:val="24"/>
              </w:rPr>
              <w:t xml:space="preserve"> (AFR)</w:t>
            </w:r>
            <w:r w:rsidRPr="00DA4B74">
              <w:rPr>
                <w:b/>
                <w:bCs/>
                <w:sz w:val="24"/>
              </w:rPr>
              <w:t xml:space="preserve"> has been established, adjustments are made for internal loans or advances that</w:t>
            </w:r>
            <w:r w:rsidR="00684F1E" w:rsidRPr="00DA4B74">
              <w:rPr>
                <w:b/>
                <w:bCs/>
                <w:sz w:val="24"/>
              </w:rPr>
              <w:t xml:space="preserve"> </w:t>
            </w:r>
            <w:r w:rsidRPr="00DA4B74">
              <w:rPr>
                <w:b/>
                <w:bCs/>
                <w:sz w:val="24"/>
              </w:rPr>
              <w:t>are still outstanding at the date of implementation (which is explained in these guidelines) and</w:t>
            </w:r>
            <w:r w:rsidR="00684F1E" w:rsidRPr="00DA4B74">
              <w:rPr>
                <w:b/>
                <w:bCs/>
                <w:sz w:val="24"/>
              </w:rPr>
              <w:t xml:space="preserve"> </w:t>
            </w:r>
            <w:r w:rsidRPr="00DA4B74">
              <w:rPr>
                <w:b/>
                <w:bCs/>
                <w:sz w:val="24"/>
              </w:rPr>
              <w:t xml:space="preserve">the residual balance is then compared with cash or investments attributable to the </w:t>
            </w:r>
            <w:r w:rsidR="00C67F00" w:rsidRPr="00DA4B74">
              <w:rPr>
                <w:b/>
                <w:bCs/>
                <w:sz w:val="24"/>
              </w:rPr>
              <w:t>Asset Financing Reserve</w:t>
            </w:r>
            <w:r w:rsidR="00B862D0" w:rsidRPr="00DA4B74">
              <w:rPr>
                <w:b/>
                <w:bCs/>
                <w:sz w:val="24"/>
              </w:rPr>
              <w:t xml:space="preserve"> (AFR)</w:t>
            </w:r>
            <w:r w:rsidRPr="00DA4B74">
              <w:rPr>
                <w:b/>
                <w:bCs/>
                <w:sz w:val="24"/>
              </w:rPr>
              <w:t>.</w:t>
            </w:r>
            <w:r w:rsidR="00684F1E" w:rsidRPr="00DA4B74">
              <w:rPr>
                <w:b/>
                <w:bCs/>
                <w:sz w:val="24"/>
              </w:rPr>
              <w:t xml:space="preserve"> </w:t>
            </w:r>
            <w:r w:rsidRPr="00DA4B74">
              <w:rPr>
                <w:b/>
                <w:bCs/>
                <w:sz w:val="24"/>
              </w:rPr>
              <w:t xml:space="preserve"> Where</w:t>
            </w:r>
            <w:r w:rsidR="00684F1E" w:rsidRPr="00DA4B74">
              <w:rPr>
                <w:b/>
                <w:bCs/>
                <w:sz w:val="24"/>
              </w:rPr>
              <w:t xml:space="preserve"> </w:t>
            </w:r>
            <w:r w:rsidRPr="00DA4B74">
              <w:rPr>
                <w:b/>
                <w:bCs/>
                <w:sz w:val="24"/>
              </w:rPr>
              <w:t xml:space="preserve">there is insufficient cash or investments, then the balance of the </w:t>
            </w:r>
            <w:r w:rsidR="00C67F00" w:rsidRPr="00DA4B74">
              <w:rPr>
                <w:b/>
                <w:bCs/>
                <w:sz w:val="24"/>
              </w:rPr>
              <w:t>Asset Financing Reserve</w:t>
            </w:r>
            <w:r w:rsidR="00B862D0" w:rsidRPr="00DA4B74">
              <w:rPr>
                <w:b/>
                <w:bCs/>
                <w:sz w:val="24"/>
              </w:rPr>
              <w:t xml:space="preserve"> (AFR)</w:t>
            </w:r>
            <w:r w:rsidRPr="00DA4B74">
              <w:rPr>
                <w:b/>
                <w:bCs/>
                <w:sz w:val="24"/>
              </w:rPr>
              <w:t xml:space="preserve"> is written down to the</w:t>
            </w:r>
            <w:r w:rsidR="00684F1E" w:rsidRPr="00DA4B74">
              <w:rPr>
                <w:b/>
                <w:bCs/>
                <w:sz w:val="24"/>
              </w:rPr>
              <w:t xml:space="preserve"> </w:t>
            </w:r>
            <w:r w:rsidRPr="00DA4B74">
              <w:rPr>
                <w:b/>
                <w:bCs/>
                <w:sz w:val="24"/>
              </w:rPr>
              <w:t>balance of cash or investments.</w:t>
            </w:r>
          </w:p>
          <w:p w:rsidR="00684F1E" w:rsidRPr="00DA4B74" w:rsidRDefault="00E56CAB" w:rsidP="00DA4B74">
            <w:pPr>
              <w:spacing w:before="120" w:after="120" w:line="240" w:lineRule="auto"/>
              <w:jc w:val="both"/>
              <w:rPr>
                <w:bCs/>
                <w:sz w:val="24"/>
              </w:rPr>
            </w:pPr>
            <w:r w:rsidRPr="00DA4B74">
              <w:rPr>
                <w:b/>
                <w:bCs/>
                <w:sz w:val="24"/>
              </w:rPr>
              <w:t xml:space="preserve">The </w:t>
            </w:r>
            <w:r w:rsidR="00C67F00" w:rsidRPr="00DA4B74">
              <w:rPr>
                <w:b/>
                <w:bCs/>
                <w:sz w:val="24"/>
              </w:rPr>
              <w:t>Asset Financing Reserve</w:t>
            </w:r>
            <w:r w:rsidR="00B862D0" w:rsidRPr="00DA4B74">
              <w:rPr>
                <w:b/>
                <w:bCs/>
                <w:sz w:val="24"/>
              </w:rPr>
              <w:t xml:space="preserve"> (AFR)</w:t>
            </w:r>
            <w:r w:rsidRPr="00DA4B74">
              <w:rPr>
                <w:b/>
                <w:bCs/>
                <w:sz w:val="24"/>
              </w:rPr>
              <w:t xml:space="preserve"> can be increased by transferring amounts from unappropriated surpluses to the </w:t>
            </w:r>
            <w:r w:rsidR="00C67F00" w:rsidRPr="00DA4B74">
              <w:rPr>
                <w:b/>
                <w:bCs/>
                <w:sz w:val="24"/>
              </w:rPr>
              <w:t>Asset Financing Reserve</w:t>
            </w:r>
            <w:r w:rsidR="00B862D0" w:rsidRPr="00DA4B74">
              <w:rPr>
                <w:b/>
                <w:bCs/>
                <w:sz w:val="24"/>
              </w:rPr>
              <w:t xml:space="preserve"> (AFR)</w:t>
            </w:r>
            <w:r w:rsidR="00684F1E" w:rsidRPr="00DA4B74">
              <w:rPr>
                <w:b/>
                <w:bCs/>
                <w:sz w:val="24"/>
              </w:rPr>
              <w:t xml:space="preserve"> </w:t>
            </w:r>
            <w:r w:rsidRPr="00DA4B74">
              <w:rPr>
                <w:b/>
                <w:bCs/>
                <w:sz w:val="24"/>
              </w:rPr>
              <w:t xml:space="preserve">through the Statement of Changes in Community Wealth. </w:t>
            </w:r>
            <w:r w:rsidR="00684F1E" w:rsidRPr="00DA4B74">
              <w:rPr>
                <w:b/>
                <w:bCs/>
                <w:sz w:val="24"/>
              </w:rPr>
              <w:t xml:space="preserve"> </w:t>
            </w:r>
            <w:r w:rsidRPr="00DA4B74">
              <w:rPr>
                <w:b/>
                <w:bCs/>
                <w:sz w:val="24"/>
              </w:rPr>
              <w:t>There are no restrictions on the</w:t>
            </w:r>
            <w:r w:rsidR="00684F1E" w:rsidRPr="00DA4B74">
              <w:rPr>
                <w:b/>
                <w:bCs/>
                <w:sz w:val="24"/>
              </w:rPr>
              <w:t xml:space="preserve"> </w:t>
            </w:r>
            <w:r w:rsidRPr="00DA4B74">
              <w:rPr>
                <w:b/>
                <w:bCs/>
                <w:sz w:val="24"/>
              </w:rPr>
              <w:t>amount that can be transferred, except that there must be sufficient cash or investments to</w:t>
            </w:r>
            <w:r w:rsidR="00684F1E" w:rsidRPr="00DA4B74">
              <w:rPr>
                <w:b/>
                <w:bCs/>
                <w:sz w:val="24"/>
              </w:rPr>
              <w:t xml:space="preserve"> </w:t>
            </w:r>
            <w:r w:rsidRPr="00DA4B74">
              <w:rPr>
                <w:b/>
                <w:bCs/>
                <w:sz w:val="24"/>
              </w:rPr>
              <w:t xml:space="preserve">support the increased balance of the </w:t>
            </w:r>
            <w:r w:rsidR="00C67F00" w:rsidRPr="00DA4B74">
              <w:rPr>
                <w:b/>
                <w:bCs/>
                <w:sz w:val="24"/>
              </w:rPr>
              <w:t>Asset Financing Reserve</w:t>
            </w:r>
            <w:r w:rsidR="00B862D0" w:rsidRPr="00DA4B74">
              <w:rPr>
                <w:b/>
                <w:bCs/>
                <w:sz w:val="24"/>
              </w:rPr>
              <w:t xml:space="preserve"> (AFR)</w:t>
            </w:r>
            <w:r w:rsidRPr="00DA4B74">
              <w:rPr>
                <w:b/>
                <w:bCs/>
                <w:sz w:val="24"/>
              </w:rPr>
              <w:t>.</w:t>
            </w:r>
            <w:r w:rsidR="00684F1E" w:rsidRPr="00DA4B74">
              <w:rPr>
                <w:b/>
                <w:bCs/>
                <w:sz w:val="24"/>
              </w:rPr>
              <w:t xml:space="preserve">  </w:t>
            </w:r>
          </w:p>
          <w:p w:rsidR="00684F1E" w:rsidRPr="00DA4B74" w:rsidRDefault="00E56CAB" w:rsidP="00DA4B74">
            <w:pPr>
              <w:spacing w:before="120" w:after="120" w:line="240" w:lineRule="auto"/>
              <w:jc w:val="both"/>
              <w:rPr>
                <w:bCs/>
                <w:sz w:val="24"/>
              </w:rPr>
            </w:pPr>
            <w:r w:rsidRPr="00DA4B74">
              <w:rPr>
                <w:b/>
                <w:bCs/>
                <w:sz w:val="24"/>
              </w:rPr>
              <w:t xml:space="preserve">It should be noted that those municipalities that have a significant </w:t>
            </w:r>
            <w:r w:rsidR="00C67F00" w:rsidRPr="00DA4B74">
              <w:rPr>
                <w:b/>
                <w:bCs/>
                <w:sz w:val="24"/>
              </w:rPr>
              <w:t>Asset Financing Reserve</w:t>
            </w:r>
            <w:r w:rsidR="00B862D0" w:rsidRPr="00DA4B74">
              <w:rPr>
                <w:b/>
                <w:bCs/>
                <w:sz w:val="24"/>
              </w:rPr>
              <w:t xml:space="preserve"> (AFR)</w:t>
            </w:r>
            <w:r w:rsidRPr="00DA4B74">
              <w:rPr>
                <w:b/>
                <w:bCs/>
                <w:sz w:val="24"/>
              </w:rPr>
              <w:t xml:space="preserve"> would be in a better</w:t>
            </w:r>
            <w:r w:rsidR="00684F1E" w:rsidRPr="00DA4B74">
              <w:rPr>
                <w:b/>
                <w:bCs/>
                <w:sz w:val="24"/>
              </w:rPr>
              <w:t xml:space="preserve"> </w:t>
            </w:r>
            <w:r w:rsidRPr="00DA4B74">
              <w:rPr>
                <w:b/>
                <w:bCs/>
                <w:sz w:val="24"/>
              </w:rPr>
              <w:t xml:space="preserve">position to finance development. </w:t>
            </w:r>
            <w:r w:rsidR="00684F1E" w:rsidRPr="00DA4B74">
              <w:rPr>
                <w:b/>
                <w:bCs/>
                <w:sz w:val="24"/>
              </w:rPr>
              <w:t xml:space="preserve"> </w:t>
            </w:r>
            <w:r w:rsidRPr="00DA4B74">
              <w:rPr>
                <w:b/>
                <w:bCs/>
                <w:sz w:val="24"/>
              </w:rPr>
              <w:t>Those municipalities that have cash-flow challenges will not</w:t>
            </w:r>
            <w:r w:rsidR="00684F1E" w:rsidRPr="00DA4B74">
              <w:rPr>
                <w:b/>
                <w:bCs/>
                <w:sz w:val="24"/>
              </w:rPr>
              <w:t xml:space="preserve"> </w:t>
            </w:r>
            <w:r w:rsidRPr="00DA4B74">
              <w:rPr>
                <w:b/>
                <w:bCs/>
                <w:sz w:val="24"/>
              </w:rPr>
              <w:t xml:space="preserve">be able to have an </w:t>
            </w:r>
            <w:r w:rsidR="00C67F00" w:rsidRPr="00DA4B74">
              <w:rPr>
                <w:b/>
                <w:bCs/>
                <w:sz w:val="24"/>
              </w:rPr>
              <w:t>Asset Financing Reserve</w:t>
            </w:r>
            <w:r w:rsidR="00B862D0" w:rsidRPr="00DA4B74">
              <w:rPr>
                <w:b/>
                <w:bCs/>
                <w:sz w:val="24"/>
              </w:rPr>
              <w:t xml:space="preserve"> (AFR)</w:t>
            </w:r>
            <w:r w:rsidRPr="00DA4B74">
              <w:rPr>
                <w:b/>
                <w:bCs/>
                <w:sz w:val="24"/>
              </w:rPr>
              <w:t xml:space="preserve">. </w:t>
            </w:r>
            <w:r w:rsidR="00684F1E" w:rsidRPr="00DA4B74">
              <w:rPr>
                <w:b/>
                <w:bCs/>
                <w:sz w:val="24"/>
              </w:rPr>
              <w:t xml:space="preserve"> </w:t>
            </w:r>
            <w:r w:rsidRPr="00DA4B74">
              <w:rPr>
                <w:b/>
                <w:bCs/>
                <w:sz w:val="24"/>
              </w:rPr>
              <w:t>Instead, it is likely that such municipalities will have to increase their</w:t>
            </w:r>
            <w:r w:rsidR="00684F1E" w:rsidRPr="00DA4B74">
              <w:rPr>
                <w:b/>
                <w:bCs/>
                <w:sz w:val="24"/>
              </w:rPr>
              <w:t xml:space="preserve"> </w:t>
            </w:r>
            <w:r w:rsidRPr="00DA4B74">
              <w:rPr>
                <w:b/>
                <w:bCs/>
                <w:sz w:val="24"/>
              </w:rPr>
              <w:t xml:space="preserve">bad debt provision using the non-cash portion that will be transferred out of the </w:t>
            </w:r>
            <w:r w:rsidR="00C67F00" w:rsidRPr="00DA4B74">
              <w:rPr>
                <w:b/>
                <w:bCs/>
                <w:sz w:val="24"/>
              </w:rPr>
              <w:t>Asset Financing Reserve</w:t>
            </w:r>
            <w:r w:rsidR="00B862D0" w:rsidRPr="00DA4B74">
              <w:rPr>
                <w:b/>
                <w:bCs/>
                <w:sz w:val="24"/>
              </w:rPr>
              <w:t xml:space="preserve"> (AFR)</w:t>
            </w:r>
            <w:r w:rsidRPr="00DA4B74">
              <w:rPr>
                <w:b/>
                <w:bCs/>
                <w:sz w:val="24"/>
              </w:rPr>
              <w:t xml:space="preserve"> on</w:t>
            </w:r>
            <w:r w:rsidR="00684F1E" w:rsidRPr="00DA4B74">
              <w:rPr>
                <w:b/>
                <w:bCs/>
                <w:sz w:val="24"/>
              </w:rPr>
              <w:t xml:space="preserve"> </w:t>
            </w:r>
            <w:r w:rsidRPr="00DA4B74">
              <w:rPr>
                <w:b/>
                <w:bCs/>
                <w:sz w:val="24"/>
              </w:rPr>
              <w:t>implementation.</w:t>
            </w:r>
          </w:p>
          <w:p w:rsidR="00684F1E" w:rsidRPr="00DA4B74" w:rsidRDefault="00E56CAB" w:rsidP="00DA4B74">
            <w:pPr>
              <w:spacing w:before="120" w:after="120" w:line="240" w:lineRule="auto"/>
              <w:jc w:val="both"/>
              <w:rPr>
                <w:b/>
                <w:bCs/>
                <w:sz w:val="24"/>
              </w:rPr>
            </w:pPr>
            <w:r w:rsidRPr="00DA4B74">
              <w:rPr>
                <w:b/>
                <w:bCs/>
                <w:sz w:val="24"/>
              </w:rPr>
              <w:t>The process to establish the A</w:t>
            </w:r>
            <w:r w:rsidR="00684F1E" w:rsidRPr="00DA4B74">
              <w:rPr>
                <w:b/>
                <w:bCs/>
                <w:sz w:val="24"/>
              </w:rPr>
              <w:t xml:space="preserve">sset </w:t>
            </w:r>
            <w:r w:rsidRPr="00DA4B74">
              <w:rPr>
                <w:b/>
                <w:bCs/>
                <w:sz w:val="24"/>
              </w:rPr>
              <w:t>F</w:t>
            </w:r>
            <w:r w:rsidR="00684F1E" w:rsidRPr="00DA4B74">
              <w:rPr>
                <w:b/>
                <w:bCs/>
                <w:sz w:val="24"/>
              </w:rPr>
              <w:t xml:space="preserve">inance </w:t>
            </w:r>
            <w:r w:rsidRPr="00DA4B74">
              <w:rPr>
                <w:b/>
                <w:bCs/>
                <w:sz w:val="24"/>
              </w:rPr>
              <w:t>R</w:t>
            </w:r>
            <w:r w:rsidR="00684F1E" w:rsidRPr="00DA4B74">
              <w:rPr>
                <w:b/>
                <w:bCs/>
                <w:sz w:val="24"/>
              </w:rPr>
              <w:t>eserve</w:t>
            </w:r>
            <w:r w:rsidRPr="00DA4B74">
              <w:rPr>
                <w:b/>
                <w:bCs/>
                <w:sz w:val="24"/>
              </w:rPr>
              <w:t xml:space="preserve"> (where there is no C</w:t>
            </w:r>
            <w:r w:rsidR="00684F1E" w:rsidRPr="00DA4B74">
              <w:rPr>
                <w:b/>
                <w:bCs/>
                <w:sz w:val="24"/>
              </w:rPr>
              <w:t xml:space="preserve">onsolidated </w:t>
            </w:r>
            <w:r w:rsidRPr="00DA4B74">
              <w:rPr>
                <w:b/>
                <w:bCs/>
                <w:sz w:val="24"/>
              </w:rPr>
              <w:t>L</w:t>
            </w:r>
            <w:r w:rsidR="00684F1E" w:rsidRPr="00DA4B74">
              <w:rPr>
                <w:b/>
                <w:bCs/>
                <w:sz w:val="24"/>
              </w:rPr>
              <w:t xml:space="preserve">oan </w:t>
            </w:r>
            <w:r w:rsidRPr="00DA4B74">
              <w:rPr>
                <w:b/>
                <w:bCs/>
                <w:sz w:val="24"/>
              </w:rPr>
              <w:t>F</w:t>
            </w:r>
            <w:r w:rsidR="00684F1E" w:rsidRPr="00DA4B74">
              <w:rPr>
                <w:b/>
                <w:bCs/>
                <w:sz w:val="24"/>
              </w:rPr>
              <w:t>und</w:t>
            </w:r>
            <w:r w:rsidRPr="00DA4B74">
              <w:rPr>
                <w:b/>
                <w:bCs/>
                <w:sz w:val="24"/>
              </w:rPr>
              <w:t>)</w:t>
            </w:r>
          </w:p>
          <w:p w:rsidR="00684F1E" w:rsidRPr="00DA4B74" w:rsidRDefault="00E56CAB" w:rsidP="00DA4B74">
            <w:pPr>
              <w:spacing w:before="120" w:after="120" w:line="240" w:lineRule="auto"/>
              <w:jc w:val="both"/>
              <w:rPr>
                <w:bCs/>
                <w:sz w:val="24"/>
              </w:rPr>
            </w:pPr>
            <w:r w:rsidRPr="00DA4B74">
              <w:rPr>
                <w:b/>
                <w:bCs/>
                <w:sz w:val="24"/>
              </w:rPr>
              <w:t xml:space="preserve">The following process map should be used to establish the </w:t>
            </w:r>
            <w:r w:rsidR="00C67F00" w:rsidRPr="00DA4B74">
              <w:rPr>
                <w:b/>
                <w:bCs/>
                <w:sz w:val="24"/>
              </w:rPr>
              <w:t xml:space="preserve">Asset Financing Reserve </w:t>
            </w:r>
            <w:r w:rsidR="00B862D0" w:rsidRPr="00DA4B74">
              <w:rPr>
                <w:b/>
                <w:bCs/>
                <w:sz w:val="24"/>
              </w:rPr>
              <w:t>(AFR)</w:t>
            </w:r>
            <w:r w:rsidRPr="00DA4B74">
              <w:rPr>
                <w:b/>
                <w:bCs/>
                <w:sz w:val="24"/>
              </w:rPr>
              <w:t xml:space="preserve"> where there is not a</w:t>
            </w:r>
            <w:r w:rsidR="00684F1E" w:rsidRPr="00DA4B74">
              <w:rPr>
                <w:b/>
                <w:bCs/>
                <w:sz w:val="24"/>
              </w:rPr>
              <w:t xml:space="preserve"> </w:t>
            </w:r>
            <w:r w:rsidRPr="00DA4B74">
              <w:rPr>
                <w:b/>
                <w:bCs/>
                <w:sz w:val="24"/>
              </w:rPr>
              <w:t>Consolidated Loans Fund (CLF</w:t>
            </w:r>
            <w:r w:rsidR="00684F1E" w:rsidRPr="00DA4B74">
              <w:rPr>
                <w:b/>
                <w:bCs/>
                <w:sz w:val="24"/>
              </w:rPr>
              <w:t>)</w:t>
            </w:r>
          </w:p>
          <w:p w:rsidR="00684F1E" w:rsidRPr="00DA4B74" w:rsidRDefault="00E56CAB" w:rsidP="00DA4B74">
            <w:pPr>
              <w:spacing w:before="120" w:after="120" w:line="240" w:lineRule="auto"/>
              <w:jc w:val="both"/>
              <w:rPr>
                <w:bCs/>
                <w:sz w:val="24"/>
              </w:rPr>
            </w:pPr>
            <w:r w:rsidRPr="00DA4B74">
              <w:rPr>
                <w:b/>
                <w:bCs/>
                <w:sz w:val="24"/>
              </w:rPr>
              <w:t>Steps Procedure</w:t>
            </w:r>
            <w:r w:rsidR="00684F1E" w:rsidRPr="00DA4B74">
              <w:rPr>
                <w:b/>
                <w:bCs/>
                <w:sz w:val="24"/>
              </w:rPr>
              <w:t>:</w:t>
            </w:r>
          </w:p>
          <w:p w:rsidR="00684F1E" w:rsidRPr="00DA4B74" w:rsidRDefault="00E56CAB" w:rsidP="00DA4B74">
            <w:pPr>
              <w:pStyle w:val="BulletParagraphs"/>
              <w:jc w:val="both"/>
              <w:rPr>
                <w:bCs/>
                <w:sz w:val="24"/>
              </w:rPr>
            </w:pPr>
            <w:r w:rsidRPr="00DA4B74">
              <w:rPr>
                <w:b/>
                <w:bCs/>
                <w:sz w:val="24"/>
              </w:rPr>
              <w:t>One Aggregate the existing statutory funds into one account.</w:t>
            </w:r>
            <w:r w:rsidR="00684F1E" w:rsidRPr="00DA4B74">
              <w:rPr>
                <w:b/>
                <w:bCs/>
                <w:sz w:val="24"/>
              </w:rPr>
              <w:t xml:space="preserve"> </w:t>
            </w:r>
            <w:r w:rsidRPr="00DA4B74">
              <w:rPr>
                <w:b/>
                <w:bCs/>
                <w:sz w:val="24"/>
              </w:rPr>
              <w:t xml:space="preserve"> This is merely the</w:t>
            </w:r>
            <w:r w:rsidR="00684F1E" w:rsidRPr="00DA4B74">
              <w:rPr>
                <w:b/>
                <w:bCs/>
                <w:sz w:val="24"/>
              </w:rPr>
              <w:t xml:space="preserve"> </w:t>
            </w:r>
            <w:r w:rsidRPr="00DA4B74">
              <w:rPr>
                <w:b/>
                <w:bCs/>
                <w:sz w:val="24"/>
              </w:rPr>
              <w:t>aggregation of similar account balances.</w:t>
            </w:r>
          </w:p>
          <w:p w:rsidR="00684F1E" w:rsidRPr="00DA4B74" w:rsidRDefault="00E56CAB" w:rsidP="00DA4B74">
            <w:pPr>
              <w:pStyle w:val="BulletParagraphs"/>
              <w:jc w:val="both"/>
              <w:rPr>
                <w:bCs/>
                <w:sz w:val="24"/>
              </w:rPr>
            </w:pPr>
            <w:r w:rsidRPr="00DA4B74">
              <w:rPr>
                <w:b/>
                <w:bCs/>
                <w:sz w:val="24"/>
              </w:rPr>
              <w:t>Two Debit the accumulated fund by an amount equivalent to the internal investments</w:t>
            </w:r>
            <w:r w:rsidR="00684F1E" w:rsidRPr="00DA4B74">
              <w:rPr>
                <w:b/>
                <w:bCs/>
                <w:sz w:val="24"/>
              </w:rPr>
              <w:t xml:space="preserve"> </w:t>
            </w:r>
            <w:r w:rsidRPr="00DA4B74">
              <w:rPr>
                <w:b/>
                <w:bCs/>
                <w:sz w:val="24"/>
              </w:rPr>
              <w:t>outstanding.</w:t>
            </w:r>
          </w:p>
          <w:p w:rsidR="00684F1E" w:rsidRPr="00DA4B74" w:rsidRDefault="00E56CAB" w:rsidP="00DA4B74">
            <w:pPr>
              <w:pStyle w:val="BulletParagraphs"/>
              <w:jc w:val="both"/>
              <w:rPr>
                <w:bCs/>
                <w:sz w:val="24"/>
              </w:rPr>
            </w:pPr>
            <w:r w:rsidRPr="00DA4B74">
              <w:rPr>
                <w:b/>
                <w:bCs/>
                <w:sz w:val="24"/>
              </w:rPr>
              <w:t xml:space="preserve">Three </w:t>
            </w:r>
            <w:proofErr w:type="gramStart"/>
            <w:r w:rsidRPr="00DA4B74">
              <w:rPr>
                <w:b/>
                <w:bCs/>
                <w:sz w:val="24"/>
              </w:rPr>
              <w:t>Reverse</w:t>
            </w:r>
            <w:proofErr w:type="gramEnd"/>
            <w:r w:rsidRPr="00DA4B74">
              <w:rPr>
                <w:b/>
                <w:bCs/>
                <w:sz w:val="24"/>
              </w:rPr>
              <w:t xml:space="preserve"> the internal investments balance against the various internal loans or</w:t>
            </w:r>
            <w:r w:rsidR="00684F1E" w:rsidRPr="00DA4B74">
              <w:rPr>
                <w:b/>
                <w:bCs/>
                <w:sz w:val="24"/>
              </w:rPr>
              <w:t xml:space="preserve"> </w:t>
            </w:r>
            <w:r w:rsidRPr="00DA4B74">
              <w:rPr>
                <w:b/>
                <w:bCs/>
                <w:sz w:val="24"/>
              </w:rPr>
              <w:t>advances accounts in the borrowing services.</w:t>
            </w:r>
          </w:p>
          <w:p w:rsidR="005A5372" w:rsidRPr="00DA4B74" w:rsidRDefault="00E56CAB" w:rsidP="00DA4B74">
            <w:pPr>
              <w:pStyle w:val="BulletParagraphs"/>
              <w:jc w:val="both"/>
              <w:rPr>
                <w:bCs/>
                <w:sz w:val="24"/>
              </w:rPr>
            </w:pPr>
            <w:r w:rsidRPr="00DA4B74">
              <w:rPr>
                <w:b/>
                <w:bCs/>
                <w:sz w:val="24"/>
              </w:rPr>
              <w:t xml:space="preserve">Four </w:t>
            </w:r>
            <w:proofErr w:type="gramStart"/>
            <w:r w:rsidRPr="00DA4B74">
              <w:rPr>
                <w:b/>
                <w:bCs/>
                <w:sz w:val="24"/>
              </w:rPr>
              <w:t>Compare</w:t>
            </w:r>
            <w:proofErr w:type="gramEnd"/>
            <w:r w:rsidRPr="00DA4B74">
              <w:rPr>
                <w:b/>
                <w:bCs/>
                <w:sz w:val="24"/>
              </w:rPr>
              <w:t xml:space="preserve"> the total of the accumulated fund with the balance of cash or investments</w:t>
            </w:r>
            <w:r w:rsidR="00684F1E" w:rsidRPr="00DA4B74">
              <w:rPr>
                <w:b/>
                <w:bCs/>
                <w:sz w:val="24"/>
              </w:rPr>
              <w:t xml:space="preserve"> </w:t>
            </w:r>
            <w:r w:rsidRPr="00DA4B74">
              <w:rPr>
                <w:b/>
                <w:bCs/>
                <w:sz w:val="24"/>
              </w:rPr>
              <w:t xml:space="preserve">attributable to the </w:t>
            </w:r>
            <w:r w:rsidR="00C67F00" w:rsidRPr="00DA4B74">
              <w:rPr>
                <w:b/>
                <w:bCs/>
                <w:sz w:val="24"/>
              </w:rPr>
              <w:t>Asset Financing Reserve</w:t>
            </w:r>
            <w:r w:rsidR="00B862D0" w:rsidRPr="00DA4B74">
              <w:rPr>
                <w:b/>
                <w:bCs/>
                <w:sz w:val="24"/>
              </w:rPr>
              <w:t xml:space="preserve"> (AFR)</w:t>
            </w:r>
            <w:r w:rsidRPr="00DA4B74">
              <w:rPr>
                <w:b/>
                <w:bCs/>
                <w:sz w:val="24"/>
              </w:rPr>
              <w:t xml:space="preserve">. </w:t>
            </w:r>
            <w:r w:rsidR="00684F1E" w:rsidRPr="00DA4B74">
              <w:rPr>
                <w:b/>
                <w:bCs/>
                <w:sz w:val="24"/>
              </w:rPr>
              <w:t xml:space="preserve"> </w:t>
            </w:r>
            <w:r w:rsidRPr="00DA4B74">
              <w:rPr>
                <w:b/>
                <w:bCs/>
                <w:sz w:val="24"/>
              </w:rPr>
              <w:t>Reverse the “unfunded” balance to the unappropriated</w:t>
            </w:r>
            <w:r w:rsidR="00684F1E" w:rsidRPr="00DA4B74">
              <w:rPr>
                <w:b/>
                <w:bCs/>
                <w:sz w:val="24"/>
              </w:rPr>
              <w:t xml:space="preserve"> </w:t>
            </w:r>
            <w:r w:rsidRPr="00DA4B74">
              <w:rPr>
                <w:b/>
                <w:bCs/>
                <w:sz w:val="24"/>
              </w:rPr>
              <w:t>surplus</w:t>
            </w:r>
            <w:r w:rsidR="00C51382" w:rsidRPr="00DA4B74">
              <w:rPr>
                <w:b/>
                <w:bCs/>
                <w:sz w:val="24"/>
              </w:rPr>
              <w:t>.</w:t>
            </w:r>
          </w:p>
          <w:p w:rsidR="00C51382" w:rsidRPr="00DA4B74" w:rsidRDefault="00C51382" w:rsidP="00DA4B74">
            <w:pPr>
              <w:spacing w:before="120" w:after="120" w:line="240" w:lineRule="auto"/>
              <w:jc w:val="both"/>
              <w:rPr>
                <w:b/>
                <w:bCs/>
                <w:sz w:val="24"/>
              </w:rPr>
            </w:pPr>
            <w:r w:rsidRPr="00DA4B74">
              <w:rPr>
                <w:b/>
                <w:bCs/>
                <w:sz w:val="24"/>
              </w:rPr>
              <w:t xml:space="preserve">The process to establish the External Finance Fund (where there is no Consolidated Loan Fund)  </w:t>
            </w:r>
          </w:p>
          <w:p w:rsidR="00C51382" w:rsidRPr="00DA4B74" w:rsidRDefault="00C51382" w:rsidP="00DA4B74">
            <w:pPr>
              <w:spacing w:before="120" w:after="120" w:line="240" w:lineRule="auto"/>
              <w:jc w:val="both"/>
              <w:rPr>
                <w:bCs/>
                <w:sz w:val="24"/>
              </w:rPr>
            </w:pPr>
            <w:r w:rsidRPr="00DA4B74">
              <w:rPr>
                <w:b/>
                <w:bCs/>
                <w:sz w:val="24"/>
              </w:rPr>
              <w:t>Where there is no C</w:t>
            </w:r>
            <w:r w:rsidR="00C67F00" w:rsidRPr="00DA4B74">
              <w:rPr>
                <w:b/>
                <w:bCs/>
                <w:sz w:val="24"/>
              </w:rPr>
              <w:t xml:space="preserve">onsolidated </w:t>
            </w:r>
            <w:r w:rsidRPr="00DA4B74">
              <w:rPr>
                <w:b/>
                <w:bCs/>
                <w:sz w:val="24"/>
              </w:rPr>
              <w:t>L</w:t>
            </w:r>
            <w:r w:rsidR="00C67F00" w:rsidRPr="00DA4B74">
              <w:rPr>
                <w:b/>
                <w:bCs/>
                <w:sz w:val="24"/>
              </w:rPr>
              <w:t xml:space="preserve">oan </w:t>
            </w:r>
            <w:r w:rsidRPr="00DA4B74">
              <w:rPr>
                <w:b/>
                <w:bCs/>
                <w:sz w:val="24"/>
              </w:rPr>
              <w:t>F</w:t>
            </w:r>
            <w:r w:rsidR="00C67F00" w:rsidRPr="00DA4B74">
              <w:rPr>
                <w:b/>
                <w:bCs/>
                <w:sz w:val="24"/>
              </w:rPr>
              <w:t>und (CLF)</w:t>
            </w:r>
            <w:r w:rsidRPr="00DA4B74">
              <w:rPr>
                <w:b/>
                <w:bCs/>
                <w:sz w:val="24"/>
              </w:rPr>
              <w:t>, the process to establish the E</w:t>
            </w:r>
            <w:r w:rsidR="00C67F00" w:rsidRPr="00DA4B74">
              <w:rPr>
                <w:b/>
                <w:bCs/>
                <w:sz w:val="24"/>
              </w:rPr>
              <w:t xml:space="preserve">xternal </w:t>
            </w:r>
            <w:r w:rsidRPr="00DA4B74">
              <w:rPr>
                <w:b/>
                <w:bCs/>
                <w:sz w:val="24"/>
              </w:rPr>
              <w:t>F</w:t>
            </w:r>
            <w:r w:rsidR="00C67F00" w:rsidRPr="00DA4B74">
              <w:rPr>
                <w:b/>
                <w:bCs/>
                <w:sz w:val="24"/>
              </w:rPr>
              <w:t xml:space="preserve">inance </w:t>
            </w:r>
            <w:r w:rsidRPr="00DA4B74">
              <w:rPr>
                <w:b/>
                <w:bCs/>
                <w:sz w:val="24"/>
              </w:rPr>
              <w:t>F</w:t>
            </w:r>
            <w:r w:rsidR="00C67F00" w:rsidRPr="00DA4B74">
              <w:rPr>
                <w:b/>
                <w:bCs/>
                <w:sz w:val="24"/>
              </w:rPr>
              <w:t>und (EFF)</w:t>
            </w:r>
            <w:r w:rsidRPr="00DA4B74">
              <w:rPr>
                <w:b/>
                <w:bCs/>
                <w:sz w:val="24"/>
              </w:rPr>
              <w:t xml:space="preserve"> is relatively simple.  Based on the work done on preparing a Fixed Assets Register and Unbundling Loans Redeemed and Other Capital Receipts, it will be possible to determine the external loans outstanding that </w:t>
            </w:r>
            <w:r w:rsidR="00586476" w:rsidRPr="00DA4B74">
              <w:rPr>
                <w:b/>
                <w:bCs/>
                <w:sz w:val="24"/>
              </w:rPr>
              <w:t xml:space="preserve">have </w:t>
            </w:r>
            <w:r w:rsidRPr="00DA4B74">
              <w:rPr>
                <w:b/>
                <w:bCs/>
                <w:sz w:val="24"/>
              </w:rPr>
              <w:t xml:space="preserve">been utilised to finance property, plant and equipment and what is unspent. </w:t>
            </w:r>
            <w:r w:rsidR="00CF7DB5" w:rsidRPr="00DA4B74">
              <w:rPr>
                <w:b/>
                <w:bCs/>
                <w:sz w:val="24"/>
              </w:rPr>
              <w:t xml:space="preserve"> </w:t>
            </w:r>
          </w:p>
          <w:p w:rsidR="00CF7DB5" w:rsidRPr="00DA4B74" w:rsidRDefault="00CF7DB5" w:rsidP="00DA4B74">
            <w:pPr>
              <w:spacing w:before="120" w:after="120" w:line="240" w:lineRule="auto"/>
              <w:jc w:val="both"/>
              <w:rPr>
                <w:bCs/>
                <w:sz w:val="24"/>
              </w:rPr>
            </w:pPr>
            <w:r w:rsidRPr="00DA4B74">
              <w:rPr>
                <w:b/>
                <w:bCs/>
                <w:sz w:val="24"/>
              </w:rPr>
              <w:t>[Reference:  Chapter 5</w:t>
            </w:r>
            <w:r w:rsidR="00FC14D7" w:rsidRPr="00DA4B74">
              <w:rPr>
                <w:b/>
                <w:bCs/>
                <w:sz w:val="24"/>
              </w:rPr>
              <w:t xml:space="preserve"> </w:t>
            </w:r>
            <w:r w:rsidRPr="00DA4B74">
              <w:rPr>
                <w:b/>
                <w:bCs/>
                <w:sz w:val="24"/>
              </w:rPr>
              <w:t>of the National Treasury Guidelines for the Implementation of Accounting Standards of Generally</w:t>
            </w:r>
            <w:r w:rsidR="00FC14D7" w:rsidRPr="00DA4B74">
              <w:rPr>
                <w:b/>
                <w:bCs/>
                <w:sz w:val="24"/>
              </w:rPr>
              <w:t xml:space="preserve"> Recognised Accounting Practice</w:t>
            </w:r>
          </w:p>
          <w:p w:rsidR="00FC14D7" w:rsidRPr="00DA4B74" w:rsidRDefault="00FC14D7" w:rsidP="00DA4B74">
            <w:pPr>
              <w:spacing w:before="120" w:after="120" w:line="240" w:lineRule="auto"/>
              <w:jc w:val="both"/>
              <w:rPr>
                <w:bCs/>
                <w:sz w:val="24"/>
              </w:rPr>
            </w:pPr>
            <w:r w:rsidRPr="00DA4B74">
              <w:rPr>
                <w:b/>
                <w:bCs/>
                <w:sz w:val="24"/>
              </w:rPr>
              <w:t>Refer to Property, Plant and Equipment for more information on the Asset Financing Reserve</w:t>
            </w:r>
          </w:p>
          <w:p w:rsidR="005169CC" w:rsidRPr="00DA4B74" w:rsidRDefault="005169CC" w:rsidP="00DA4B74">
            <w:pPr>
              <w:spacing w:before="120" w:after="120" w:line="240" w:lineRule="auto"/>
              <w:jc w:val="both"/>
              <w:rPr>
                <w:b/>
                <w:bCs/>
                <w:sz w:val="24"/>
              </w:rPr>
            </w:pPr>
            <w:r w:rsidRPr="00DA4B74">
              <w:rPr>
                <w:b/>
                <w:bCs/>
                <w:sz w:val="24"/>
              </w:rPr>
              <w:t xml:space="preserve">Rationalisation of liability provisions and reserves </w:t>
            </w:r>
          </w:p>
          <w:p w:rsidR="005169CC" w:rsidRPr="00DA4B74" w:rsidRDefault="005169CC" w:rsidP="00DA4B74">
            <w:pPr>
              <w:spacing w:before="120" w:after="120" w:line="240" w:lineRule="auto"/>
              <w:jc w:val="both"/>
              <w:rPr>
                <w:bCs/>
                <w:sz w:val="24"/>
              </w:rPr>
            </w:pPr>
            <w:r w:rsidRPr="00DA4B74">
              <w:rPr>
                <w:b/>
                <w:bCs/>
                <w:sz w:val="24"/>
              </w:rPr>
              <w:t xml:space="preserve">In terms of the definitions of liabilities, liabilities can be created only where there is a present obligation.  </w:t>
            </w:r>
            <w:r w:rsidR="00B51A94" w:rsidRPr="00DA4B74">
              <w:rPr>
                <w:b/>
                <w:bCs/>
                <w:sz w:val="24"/>
              </w:rPr>
              <w:t>Upon</w:t>
            </w:r>
            <w:r w:rsidRPr="00DA4B74">
              <w:rPr>
                <w:b/>
                <w:bCs/>
                <w:sz w:val="24"/>
              </w:rPr>
              <w:t xml:space="preserve"> implementation, municipalities will need to reverse excessive liability provisions.  In addition, liability provisions should be raised where previously no</w:t>
            </w:r>
            <w:r w:rsidR="00F13BF5" w:rsidRPr="00DA4B74">
              <w:rPr>
                <w:b/>
                <w:bCs/>
                <w:sz w:val="24"/>
              </w:rPr>
              <w:t>-</w:t>
            </w:r>
            <w:r w:rsidRPr="00DA4B74">
              <w:rPr>
                <w:b/>
                <w:bCs/>
                <w:sz w:val="24"/>
              </w:rPr>
              <w:t xml:space="preserve"> or inadequate provisions had been created.  The National Treasury also discourages the excessive use of reserves, as this is misleading to users and could result in taxation in advance of need.  The only reserve that is permitted, in addition to those created in terms of the new capital accounting model, is the Self-Insurance Reserve.  </w:t>
            </w:r>
          </w:p>
          <w:p w:rsidR="005169CC" w:rsidRPr="00DA4B74" w:rsidRDefault="005169CC" w:rsidP="00DA4B74">
            <w:pPr>
              <w:spacing w:before="120" w:after="120" w:line="240" w:lineRule="auto"/>
              <w:jc w:val="both"/>
              <w:rPr>
                <w:b/>
                <w:bCs/>
                <w:sz w:val="24"/>
              </w:rPr>
            </w:pPr>
            <w:r w:rsidRPr="00DA4B74">
              <w:rPr>
                <w:b/>
                <w:bCs/>
                <w:sz w:val="24"/>
              </w:rPr>
              <w:t xml:space="preserve">Principles of rationalisation of liability provisions and reserves  </w:t>
            </w:r>
          </w:p>
          <w:p w:rsidR="007910A9" w:rsidRPr="00DA4B74" w:rsidRDefault="005169CC" w:rsidP="00DA4B74">
            <w:pPr>
              <w:spacing w:before="120" w:after="120" w:line="240" w:lineRule="auto"/>
              <w:jc w:val="both"/>
              <w:rPr>
                <w:bCs/>
                <w:sz w:val="24"/>
              </w:rPr>
            </w:pPr>
            <w:r w:rsidRPr="00DA4B74">
              <w:rPr>
                <w:b/>
                <w:bCs/>
                <w:sz w:val="24"/>
              </w:rPr>
              <w:t>In order to assist municipalities</w:t>
            </w:r>
            <w:r w:rsidR="007910A9" w:rsidRPr="00DA4B74">
              <w:rPr>
                <w:b/>
                <w:bCs/>
                <w:sz w:val="24"/>
              </w:rPr>
              <w:t>,</w:t>
            </w:r>
            <w:r w:rsidRPr="00DA4B74">
              <w:rPr>
                <w:b/>
                <w:bCs/>
                <w:sz w:val="24"/>
              </w:rPr>
              <w:t xml:space="preserve"> rationalize existing provisions and reserves,</w:t>
            </w:r>
            <w:r w:rsidR="007910A9" w:rsidRPr="00DA4B74">
              <w:rPr>
                <w:b/>
                <w:bCs/>
                <w:sz w:val="24"/>
              </w:rPr>
              <w:t xml:space="preserve"> </w:t>
            </w:r>
            <w:r w:rsidRPr="00DA4B74">
              <w:rPr>
                <w:b/>
                <w:bCs/>
                <w:sz w:val="24"/>
              </w:rPr>
              <w:t>examples are provided below with an explanation as to the treatment of such provision or</w:t>
            </w:r>
            <w:r w:rsidR="007910A9" w:rsidRPr="00DA4B74">
              <w:rPr>
                <w:b/>
                <w:bCs/>
                <w:sz w:val="24"/>
              </w:rPr>
              <w:t xml:space="preserve"> </w:t>
            </w:r>
            <w:r w:rsidRPr="00DA4B74">
              <w:rPr>
                <w:b/>
                <w:bCs/>
                <w:sz w:val="24"/>
              </w:rPr>
              <w:t>reserve on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4"/>
              <w:gridCol w:w="4574"/>
              <w:gridCol w:w="4574"/>
            </w:tblGrid>
            <w:tr w:rsidR="007910A9" w:rsidRPr="00DA4B74" w:rsidTr="00DA4B74">
              <w:trPr>
                <w:tblHeader/>
              </w:trPr>
              <w:tc>
                <w:tcPr>
                  <w:tcW w:w="4574" w:type="dxa"/>
                  <w:shd w:val="clear" w:color="auto" w:fill="auto"/>
                </w:tcPr>
                <w:p w:rsidR="007910A9" w:rsidRPr="00DA4B74" w:rsidRDefault="007910A9" w:rsidP="00DA4B74">
                  <w:pPr>
                    <w:spacing w:before="120" w:after="120" w:line="240" w:lineRule="auto"/>
                    <w:jc w:val="both"/>
                    <w:rPr>
                      <w:b/>
                      <w:sz w:val="24"/>
                    </w:rPr>
                  </w:pPr>
                  <w:r w:rsidRPr="00DA4B74">
                    <w:rPr>
                      <w:b/>
                      <w:sz w:val="24"/>
                    </w:rPr>
                    <w:t xml:space="preserve">Example of </w:t>
                  </w:r>
                  <w:r w:rsidR="001D3347" w:rsidRPr="00DA4B74">
                    <w:rPr>
                      <w:b/>
                      <w:sz w:val="24"/>
                    </w:rPr>
                    <w:t>Provision</w:t>
                  </w:r>
                  <w:r w:rsidRPr="00DA4B74">
                    <w:rPr>
                      <w:b/>
                      <w:sz w:val="24"/>
                    </w:rPr>
                    <w:t xml:space="preserve"> or Reserve</w:t>
                  </w:r>
                </w:p>
              </w:tc>
              <w:tc>
                <w:tcPr>
                  <w:tcW w:w="4574" w:type="dxa"/>
                  <w:shd w:val="clear" w:color="auto" w:fill="auto"/>
                </w:tcPr>
                <w:p w:rsidR="007910A9" w:rsidRPr="00DA4B74" w:rsidRDefault="007910A9" w:rsidP="00DA4B74">
                  <w:pPr>
                    <w:spacing w:before="120" w:after="120" w:line="240" w:lineRule="auto"/>
                    <w:jc w:val="both"/>
                    <w:rPr>
                      <w:b/>
                      <w:sz w:val="24"/>
                    </w:rPr>
                  </w:pPr>
                  <w:r w:rsidRPr="00DA4B74">
                    <w:rPr>
                      <w:b/>
                      <w:sz w:val="24"/>
                    </w:rPr>
                    <w:t>Principles to be Applied</w:t>
                  </w:r>
                </w:p>
              </w:tc>
              <w:tc>
                <w:tcPr>
                  <w:tcW w:w="4574" w:type="dxa"/>
                  <w:shd w:val="clear" w:color="auto" w:fill="auto"/>
                </w:tcPr>
                <w:p w:rsidR="007910A9" w:rsidRPr="00DA4B74" w:rsidRDefault="007910A9" w:rsidP="00DA4B74">
                  <w:pPr>
                    <w:spacing w:before="120" w:after="120" w:line="240" w:lineRule="auto"/>
                    <w:jc w:val="both"/>
                    <w:rPr>
                      <w:b/>
                      <w:sz w:val="24"/>
                    </w:rPr>
                  </w:pPr>
                  <w:r w:rsidRPr="00DA4B74">
                    <w:rPr>
                      <w:b/>
                      <w:sz w:val="24"/>
                    </w:rPr>
                    <w:t>Treatment of Implementation</w:t>
                  </w:r>
                </w:p>
              </w:tc>
            </w:tr>
            <w:tr w:rsidR="007910A9" w:rsidRPr="00DA4B74" w:rsidTr="00DA4B74">
              <w:tc>
                <w:tcPr>
                  <w:tcW w:w="4574" w:type="dxa"/>
                  <w:shd w:val="clear" w:color="auto" w:fill="auto"/>
                </w:tcPr>
                <w:p w:rsidR="007910A9" w:rsidRPr="00DA4B74" w:rsidRDefault="007910A9" w:rsidP="00DA4B74">
                  <w:pPr>
                    <w:spacing w:before="120" w:after="120" w:line="240" w:lineRule="auto"/>
                    <w:jc w:val="both"/>
                    <w:rPr>
                      <w:sz w:val="24"/>
                    </w:rPr>
                  </w:pPr>
                  <w:r w:rsidRPr="00DA4B74">
                    <w:rPr>
                      <w:sz w:val="24"/>
                    </w:rPr>
                    <w:t xml:space="preserve">Provision for future capital expenditure.  </w:t>
                  </w:r>
                </w:p>
              </w:tc>
              <w:tc>
                <w:tcPr>
                  <w:tcW w:w="4574" w:type="dxa"/>
                  <w:shd w:val="clear" w:color="auto" w:fill="auto"/>
                </w:tcPr>
                <w:p w:rsidR="007910A9" w:rsidRPr="00DA4B74" w:rsidRDefault="007910A9" w:rsidP="00DA4B74">
                  <w:pPr>
                    <w:spacing w:before="120" w:after="120" w:line="240" w:lineRule="auto"/>
                    <w:jc w:val="both"/>
                    <w:rPr>
                      <w:sz w:val="24"/>
                    </w:rPr>
                  </w:pPr>
                  <w:r w:rsidRPr="00DA4B74">
                    <w:rPr>
                      <w:sz w:val="24"/>
                    </w:rPr>
                    <w:t xml:space="preserve">This is taxation in advance of need.  There is no present obligation and therefore should not be retained.  </w:t>
                  </w:r>
                </w:p>
              </w:tc>
              <w:tc>
                <w:tcPr>
                  <w:tcW w:w="4574" w:type="dxa"/>
                  <w:shd w:val="clear" w:color="auto" w:fill="auto"/>
                </w:tcPr>
                <w:p w:rsidR="007910A9" w:rsidRPr="00DA4B74" w:rsidRDefault="007910A9" w:rsidP="00DA4B74">
                  <w:pPr>
                    <w:spacing w:before="120" w:after="120" w:line="240" w:lineRule="auto"/>
                    <w:jc w:val="both"/>
                    <w:rPr>
                      <w:sz w:val="24"/>
                    </w:rPr>
                  </w:pPr>
                  <w:r w:rsidRPr="00DA4B74">
                    <w:rPr>
                      <w:sz w:val="24"/>
                    </w:rPr>
                    <w:t>This provision must be reversed to the unappropriated surplus on implementation.</w:t>
                  </w:r>
                </w:p>
              </w:tc>
            </w:tr>
            <w:tr w:rsidR="007910A9" w:rsidRPr="00DA4B74" w:rsidTr="00DA4B74">
              <w:tc>
                <w:tcPr>
                  <w:tcW w:w="4574" w:type="dxa"/>
                  <w:shd w:val="clear" w:color="auto" w:fill="auto"/>
                </w:tcPr>
                <w:p w:rsidR="007910A9" w:rsidRPr="00DA4B74" w:rsidRDefault="007D50E7" w:rsidP="00DA4B74">
                  <w:pPr>
                    <w:spacing w:before="120" w:after="120" w:line="240" w:lineRule="auto"/>
                    <w:jc w:val="both"/>
                    <w:rPr>
                      <w:sz w:val="24"/>
                    </w:rPr>
                  </w:pPr>
                  <w:r w:rsidRPr="00DA4B74">
                    <w:rPr>
                      <w:sz w:val="24"/>
                    </w:rPr>
                    <w:t>Provision for future operating expenditure.  This could include provisions for legal fees</w:t>
                  </w:r>
                  <w:r w:rsidR="00C7594E" w:rsidRPr="00DA4B74">
                    <w:rPr>
                      <w:sz w:val="24"/>
                    </w:rPr>
                    <w:t>;</w:t>
                  </w:r>
                  <w:r w:rsidRPr="00DA4B74">
                    <w:rPr>
                      <w:sz w:val="24"/>
                    </w:rPr>
                    <w:t xml:space="preserve"> maintenance</w:t>
                  </w:r>
                  <w:r w:rsidR="00C7594E" w:rsidRPr="00DA4B74">
                    <w:rPr>
                      <w:sz w:val="24"/>
                    </w:rPr>
                    <w:t>;</w:t>
                  </w:r>
                  <w:r w:rsidRPr="00DA4B74">
                    <w:rPr>
                      <w:sz w:val="24"/>
                    </w:rPr>
                    <w:t xml:space="preserve"> valuation roll preparation</w:t>
                  </w:r>
                  <w:r w:rsidR="00C7594E" w:rsidRPr="00DA4B74">
                    <w:rPr>
                      <w:sz w:val="24"/>
                    </w:rPr>
                    <w:t>;</w:t>
                  </w:r>
                  <w:r w:rsidRPr="00DA4B74">
                    <w:rPr>
                      <w:sz w:val="24"/>
                    </w:rPr>
                    <w:t xml:space="preserve"> and</w:t>
                  </w:r>
                  <w:r w:rsidR="00C7594E" w:rsidRPr="00DA4B74">
                    <w:rPr>
                      <w:sz w:val="24"/>
                    </w:rPr>
                    <w:t>,</w:t>
                  </w:r>
                  <w:r w:rsidRPr="00DA4B74">
                    <w:rPr>
                      <w:sz w:val="24"/>
                    </w:rPr>
                    <w:t xml:space="preserve"> audit fees, amongst others.  </w:t>
                  </w:r>
                </w:p>
              </w:tc>
              <w:tc>
                <w:tcPr>
                  <w:tcW w:w="4574" w:type="dxa"/>
                  <w:shd w:val="clear" w:color="auto" w:fill="auto"/>
                </w:tcPr>
                <w:p w:rsidR="007910A9" w:rsidRPr="00DA4B74" w:rsidRDefault="007D50E7" w:rsidP="00DA4B74">
                  <w:pPr>
                    <w:spacing w:before="120" w:after="120" w:line="240" w:lineRule="auto"/>
                    <w:jc w:val="both"/>
                    <w:rPr>
                      <w:sz w:val="24"/>
                    </w:rPr>
                  </w:pPr>
                  <w:r w:rsidRPr="00DA4B74">
                    <w:rPr>
                      <w:sz w:val="24"/>
                    </w:rPr>
                    <w:t xml:space="preserve">This is taxation in advance of need.  Unless there is a present obligation, such provisions should not be retained.  </w:t>
                  </w:r>
                </w:p>
              </w:tc>
              <w:tc>
                <w:tcPr>
                  <w:tcW w:w="4574" w:type="dxa"/>
                  <w:shd w:val="clear" w:color="auto" w:fill="auto"/>
                </w:tcPr>
                <w:p w:rsidR="007910A9" w:rsidRPr="00DA4B74" w:rsidRDefault="007D50E7" w:rsidP="00DA4B74">
                  <w:pPr>
                    <w:spacing w:before="120" w:after="120" w:line="240" w:lineRule="auto"/>
                    <w:jc w:val="both"/>
                    <w:rPr>
                      <w:sz w:val="24"/>
                    </w:rPr>
                  </w:pPr>
                  <w:r w:rsidRPr="00DA4B74">
                    <w:rPr>
                      <w:sz w:val="24"/>
                    </w:rPr>
                    <w:t>These provisions must be reversed to unappropriated surpluses on implementation.</w:t>
                  </w:r>
                </w:p>
              </w:tc>
            </w:tr>
            <w:tr w:rsidR="007D50E7" w:rsidRPr="00DA4B74" w:rsidTr="00DA4B74">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Developers’ contributions.</w:t>
                  </w:r>
                </w:p>
              </w:tc>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In certain cases</w:t>
                  </w:r>
                  <w:r w:rsidR="00C67F00" w:rsidRPr="00DA4B74">
                    <w:rPr>
                      <w:sz w:val="24"/>
                    </w:rPr>
                    <w:t>,</w:t>
                  </w:r>
                  <w:r w:rsidRPr="00DA4B74">
                    <w:rPr>
                      <w:sz w:val="24"/>
                    </w:rPr>
                    <w:t xml:space="preserve"> there is a present obligation.  The municipality may have charged a developer an amount that must be used to construct an item of property, plant or equipment by a certain date.  In such instances, there is a present obligation and such amounts must be disclosed as liabilities.  However, there are also developers’ contributions that do not represent an obligation. In other words, the municipality may have levied a charge but there is no obligation to construct a specific item of property, plant or equipment.  These amounts should not be shown as a provision or reserve.  </w:t>
                  </w:r>
                </w:p>
              </w:tc>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 xml:space="preserve">Where there are present obligations, amounts should be classified as liabilities and included in the Statement of Financial Position.  Where there are </w:t>
                  </w:r>
                  <w:r w:rsidR="00F13BF5" w:rsidRPr="00DA4B74">
                    <w:rPr>
                      <w:sz w:val="24"/>
                    </w:rPr>
                    <w:t xml:space="preserve">no </w:t>
                  </w:r>
                  <w:r w:rsidRPr="00DA4B74">
                    <w:rPr>
                      <w:sz w:val="24"/>
                    </w:rPr>
                    <w:t xml:space="preserve">obligations, the amounts should be transferred to the </w:t>
                  </w:r>
                  <w:r w:rsidR="00C67F00" w:rsidRPr="00DA4B74">
                    <w:rPr>
                      <w:sz w:val="24"/>
                    </w:rPr>
                    <w:t>Asset Financing Reserve</w:t>
                  </w:r>
                  <w:r w:rsidR="00B862D0" w:rsidRPr="00DA4B74">
                    <w:rPr>
                      <w:sz w:val="24"/>
                    </w:rPr>
                    <w:t xml:space="preserve"> (AFR)</w:t>
                  </w:r>
                  <w:r w:rsidRPr="00DA4B74">
                    <w:rPr>
                      <w:sz w:val="24"/>
                    </w:rPr>
                    <w:t xml:space="preserve"> if there is sufficient cash</w:t>
                  </w:r>
                  <w:r w:rsidR="00F13BF5" w:rsidRPr="00DA4B74">
                    <w:rPr>
                      <w:sz w:val="24"/>
                    </w:rPr>
                    <w:t>;</w:t>
                  </w:r>
                  <w:r w:rsidRPr="00DA4B74">
                    <w:rPr>
                      <w:sz w:val="24"/>
                    </w:rPr>
                    <w:t xml:space="preserve"> or transferred to unappropriated surpluses.</w:t>
                  </w:r>
                </w:p>
              </w:tc>
            </w:tr>
            <w:tr w:rsidR="007D50E7" w:rsidRPr="00DA4B74" w:rsidTr="00DA4B74">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Unspent conditional grants</w:t>
                  </w:r>
                </w:p>
              </w:tc>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In certain provinces these amounts are shown as trust monies.  Where there is an obligation, unspent grants must be shown as a liability on the Statement of Financial Position.</w:t>
                  </w:r>
                </w:p>
              </w:tc>
              <w:tc>
                <w:tcPr>
                  <w:tcW w:w="4574" w:type="dxa"/>
                  <w:shd w:val="clear" w:color="auto" w:fill="auto"/>
                </w:tcPr>
                <w:p w:rsidR="007D50E7" w:rsidRPr="00DA4B74" w:rsidRDefault="007D50E7" w:rsidP="00DA4B74">
                  <w:pPr>
                    <w:spacing w:before="120" w:after="120" w:line="240" w:lineRule="auto"/>
                    <w:jc w:val="both"/>
                    <w:rPr>
                      <w:sz w:val="24"/>
                    </w:rPr>
                  </w:pPr>
                  <w:r w:rsidRPr="00DA4B74">
                    <w:rPr>
                      <w:sz w:val="24"/>
                    </w:rPr>
                    <w:t>Unspent conditional grants must be shown as a liability until the conditions of the grant have been met.</w:t>
                  </w:r>
                </w:p>
              </w:tc>
            </w:tr>
            <w:tr w:rsidR="007D50E7" w:rsidRPr="00DA4B74" w:rsidTr="00DA4B74">
              <w:tc>
                <w:tcPr>
                  <w:tcW w:w="4574" w:type="dxa"/>
                  <w:shd w:val="clear" w:color="auto" w:fill="auto"/>
                </w:tcPr>
                <w:p w:rsidR="007D50E7" w:rsidRPr="00DA4B74" w:rsidRDefault="005E6656" w:rsidP="00DA4B74">
                  <w:pPr>
                    <w:spacing w:before="120" w:after="120" w:line="240" w:lineRule="auto"/>
                    <w:jc w:val="both"/>
                    <w:rPr>
                      <w:sz w:val="24"/>
                    </w:rPr>
                  </w:pPr>
                  <w:r w:rsidRPr="00DA4B74">
                    <w:rPr>
                      <w:sz w:val="24"/>
                    </w:rPr>
                    <w:t>Tariff stabilisation reserves</w:t>
                  </w:r>
                </w:p>
              </w:tc>
              <w:tc>
                <w:tcPr>
                  <w:tcW w:w="4574" w:type="dxa"/>
                  <w:shd w:val="clear" w:color="auto" w:fill="auto"/>
                </w:tcPr>
                <w:p w:rsidR="007D50E7" w:rsidRPr="00DA4B74" w:rsidRDefault="005E6656" w:rsidP="00DA4B74">
                  <w:pPr>
                    <w:spacing w:before="120" w:after="120" w:line="240" w:lineRule="auto"/>
                    <w:jc w:val="both"/>
                    <w:rPr>
                      <w:sz w:val="24"/>
                    </w:rPr>
                  </w:pPr>
                  <w:r w:rsidRPr="00DA4B74">
                    <w:rPr>
                      <w:sz w:val="24"/>
                    </w:rPr>
                    <w:t xml:space="preserve">This is taxation in advance of need.  There is no present obligation and it should therefore not be retained.  </w:t>
                  </w:r>
                </w:p>
              </w:tc>
              <w:tc>
                <w:tcPr>
                  <w:tcW w:w="4574" w:type="dxa"/>
                  <w:shd w:val="clear" w:color="auto" w:fill="auto"/>
                </w:tcPr>
                <w:p w:rsidR="007D50E7" w:rsidRPr="00DA4B74" w:rsidRDefault="005E6656" w:rsidP="00DA4B74">
                  <w:pPr>
                    <w:spacing w:before="120" w:after="120" w:line="240" w:lineRule="auto"/>
                    <w:jc w:val="both"/>
                    <w:rPr>
                      <w:sz w:val="24"/>
                    </w:rPr>
                  </w:pPr>
                  <w:r w:rsidRPr="00DA4B74">
                    <w:rPr>
                      <w:sz w:val="24"/>
                    </w:rPr>
                    <w:t>These provisions must be reversed to unappropriated surpluses on implementation.</w:t>
                  </w:r>
                </w:p>
              </w:tc>
            </w:tr>
            <w:tr w:rsidR="005E6656" w:rsidRPr="00DA4B74" w:rsidTr="00DA4B74">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Self-insurance funds or reserves</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These are permitted and can be retained as a reserve.</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This will be included under reserves on implementation.</w:t>
                  </w:r>
                </w:p>
              </w:tc>
            </w:tr>
            <w:tr w:rsidR="005E6656" w:rsidRPr="00DA4B74" w:rsidTr="00DA4B74">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Staff bursary or loan guarantee funds or reserves</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 xml:space="preserve">This is taxation in advance of need.  There is no present obligation and it should therefore not be retained.  </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These funds or reserves must be reversed to unappropriated surpluses on implementation.</w:t>
                  </w:r>
                </w:p>
              </w:tc>
            </w:tr>
            <w:tr w:rsidR="005E6656" w:rsidRPr="00DA4B74" w:rsidTr="00DA4B74">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Endowments</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These represent revenue and should no longer be accounted for in reserves.</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 xml:space="preserve">This fund or reserve should be transferred to the </w:t>
                  </w:r>
                  <w:r w:rsidR="00C67F00" w:rsidRPr="00DA4B74">
                    <w:rPr>
                      <w:sz w:val="24"/>
                    </w:rPr>
                    <w:t>Asset Financing Reserve</w:t>
                  </w:r>
                  <w:r w:rsidR="00B862D0" w:rsidRPr="00DA4B74">
                    <w:rPr>
                      <w:sz w:val="24"/>
                    </w:rPr>
                    <w:t xml:space="preserve"> (AFR)</w:t>
                  </w:r>
                  <w:r w:rsidRPr="00DA4B74">
                    <w:rPr>
                      <w:sz w:val="24"/>
                    </w:rPr>
                    <w:t xml:space="preserve"> if there is sufficient cash</w:t>
                  </w:r>
                  <w:r w:rsidR="00107D72" w:rsidRPr="00DA4B74">
                    <w:rPr>
                      <w:sz w:val="24"/>
                    </w:rPr>
                    <w:t>;</w:t>
                  </w:r>
                  <w:r w:rsidRPr="00DA4B74">
                    <w:rPr>
                      <w:sz w:val="24"/>
                    </w:rPr>
                    <w:t xml:space="preserve"> or</w:t>
                  </w:r>
                  <w:r w:rsidR="00107D72" w:rsidRPr="00DA4B74">
                    <w:rPr>
                      <w:sz w:val="24"/>
                    </w:rPr>
                    <w:t>,</w:t>
                  </w:r>
                  <w:r w:rsidRPr="00DA4B74">
                    <w:rPr>
                      <w:sz w:val="24"/>
                    </w:rPr>
                    <w:t xml:space="preserve"> transferred to unappropriated surpluses.</w:t>
                  </w:r>
                </w:p>
              </w:tc>
            </w:tr>
            <w:tr w:rsidR="005E6656" w:rsidRPr="00DA4B74" w:rsidTr="00DA4B74">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Parking levies, dog licences and other statutory funds</w:t>
                  </w:r>
                  <w:r w:rsidR="004B4447" w:rsidRPr="00DA4B74">
                    <w:rPr>
                      <w:sz w:val="24"/>
                    </w:rPr>
                    <w:t>.</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These represent revenue and should no longer be accounted for in reserves.</w:t>
                  </w:r>
                </w:p>
              </w:tc>
              <w:tc>
                <w:tcPr>
                  <w:tcW w:w="4574" w:type="dxa"/>
                  <w:shd w:val="clear" w:color="auto" w:fill="auto"/>
                </w:tcPr>
                <w:p w:rsidR="005E6656" w:rsidRPr="00DA4B74" w:rsidRDefault="005E6656" w:rsidP="00DA4B74">
                  <w:pPr>
                    <w:spacing w:before="120" w:after="120" w:line="240" w:lineRule="auto"/>
                    <w:jc w:val="both"/>
                    <w:rPr>
                      <w:sz w:val="24"/>
                    </w:rPr>
                  </w:pPr>
                  <w:r w:rsidRPr="00DA4B74">
                    <w:rPr>
                      <w:sz w:val="24"/>
                    </w:rPr>
                    <w:t xml:space="preserve">These funds or reserves should be transferred to the </w:t>
                  </w:r>
                  <w:r w:rsidR="00C67F00" w:rsidRPr="00DA4B74">
                    <w:rPr>
                      <w:sz w:val="24"/>
                    </w:rPr>
                    <w:t xml:space="preserve">Asset Financing Reserve </w:t>
                  </w:r>
                  <w:r w:rsidR="00B862D0" w:rsidRPr="00DA4B74">
                    <w:rPr>
                      <w:sz w:val="24"/>
                    </w:rPr>
                    <w:t>(AFR)</w:t>
                  </w:r>
                  <w:r w:rsidRPr="00DA4B74">
                    <w:rPr>
                      <w:sz w:val="24"/>
                    </w:rPr>
                    <w:t xml:space="preserve"> if there is sufficient cash</w:t>
                  </w:r>
                  <w:r w:rsidR="00F331AF" w:rsidRPr="00DA4B74">
                    <w:rPr>
                      <w:sz w:val="24"/>
                    </w:rPr>
                    <w:t>;</w:t>
                  </w:r>
                  <w:r w:rsidRPr="00DA4B74">
                    <w:rPr>
                      <w:sz w:val="24"/>
                    </w:rPr>
                    <w:t xml:space="preserve"> or transferred to unappropriated surpluses</w:t>
                  </w:r>
                  <w:r w:rsidR="004B4447" w:rsidRPr="00DA4B74">
                    <w:rPr>
                      <w:sz w:val="24"/>
                    </w:rPr>
                    <w:t>.</w:t>
                  </w:r>
                </w:p>
              </w:tc>
            </w:tr>
            <w:tr w:rsidR="004B4447" w:rsidRPr="00DA4B74" w:rsidTr="00DA4B74">
              <w:tc>
                <w:tcPr>
                  <w:tcW w:w="4574" w:type="dxa"/>
                  <w:shd w:val="clear" w:color="auto" w:fill="auto"/>
                </w:tcPr>
                <w:p w:rsidR="004B4447" w:rsidRPr="00DA4B74" w:rsidRDefault="004B4447" w:rsidP="00DA4B74">
                  <w:pPr>
                    <w:spacing w:before="120" w:after="120" w:line="240" w:lineRule="auto"/>
                    <w:jc w:val="both"/>
                    <w:rPr>
                      <w:sz w:val="24"/>
                    </w:rPr>
                  </w:pPr>
                  <w:r w:rsidRPr="00DA4B74">
                    <w:rPr>
                      <w:sz w:val="24"/>
                    </w:rPr>
                    <w:t>Staff Leave</w:t>
                  </w:r>
                </w:p>
              </w:tc>
              <w:tc>
                <w:tcPr>
                  <w:tcW w:w="4574" w:type="dxa"/>
                  <w:shd w:val="clear" w:color="auto" w:fill="auto"/>
                </w:tcPr>
                <w:p w:rsidR="004B4447" w:rsidRPr="00DA4B74" w:rsidRDefault="004B4447" w:rsidP="00DA4B74">
                  <w:pPr>
                    <w:spacing w:before="120" w:after="120" w:line="240" w:lineRule="auto"/>
                    <w:jc w:val="both"/>
                    <w:rPr>
                      <w:sz w:val="24"/>
                    </w:rPr>
                  </w:pPr>
                  <w:r w:rsidRPr="00DA4B74">
                    <w:rPr>
                      <w:sz w:val="24"/>
                    </w:rPr>
                    <w:t>There is a present obligation to staff for leave accrued but not yet taken or encashed.</w:t>
                  </w:r>
                </w:p>
              </w:tc>
              <w:tc>
                <w:tcPr>
                  <w:tcW w:w="4574" w:type="dxa"/>
                  <w:shd w:val="clear" w:color="auto" w:fill="auto"/>
                </w:tcPr>
                <w:p w:rsidR="004B4447" w:rsidRPr="00DA4B74" w:rsidRDefault="004B4447" w:rsidP="00DA4B74">
                  <w:pPr>
                    <w:spacing w:before="120" w:after="120" w:line="240" w:lineRule="auto"/>
                    <w:jc w:val="both"/>
                    <w:rPr>
                      <w:sz w:val="24"/>
                    </w:rPr>
                  </w:pPr>
                  <w:r w:rsidRPr="00DA4B74">
                    <w:rPr>
                      <w:sz w:val="24"/>
                    </w:rPr>
                    <w:t xml:space="preserve">A liability should be raised equal to the liability to staff.  </w:t>
                  </w:r>
                </w:p>
              </w:tc>
            </w:tr>
          </w:tbl>
          <w:p w:rsidR="005169CC" w:rsidRPr="00DA4B74" w:rsidRDefault="005169CC" w:rsidP="00DA4B74">
            <w:pPr>
              <w:spacing w:before="120" w:after="120" w:line="240" w:lineRule="auto"/>
              <w:jc w:val="both"/>
              <w:rPr>
                <w:bCs/>
                <w:sz w:val="24"/>
              </w:rPr>
            </w:pPr>
          </w:p>
        </w:tc>
      </w:tr>
      <w:tr w:rsidR="00384722" w:rsidRPr="00DA4B74" w:rsidTr="00DA4B74">
        <w:tc>
          <w:tcPr>
            <w:tcW w:w="5000" w:type="pct"/>
            <w:gridSpan w:val="4"/>
            <w:shd w:val="clear" w:color="auto" w:fill="auto"/>
          </w:tcPr>
          <w:p w:rsidR="00384722" w:rsidRPr="00DA4B74" w:rsidRDefault="00384722" w:rsidP="00DA4B74">
            <w:pPr>
              <w:spacing w:before="120" w:after="120" w:line="240" w:lineRule="auto"/>
              <w:jc w:val="both"/>
              <w:rPr>
                <w:bCs/>
                <w:sz w:val="24"/>
              </w:rPr>
            </w:pPr>
            <w:r w:rsidRPr="00DA4B74">
              <w:rPr>
                <w:b/>
                <w:bCs/>
                <w:sz w:val="24"/>
              </w:rPr>
              <w:t>(Reference:  Chapter 5 of the National Treasury Guidelines for the Implementation of Accounting Standards of Generally Recognised Accounting Practice)</w:t>
            </w:r>
          </w:p>
        </w:tc>
      </w:tr>
      <w:tr w:rsidR="00AF7175" w:rsidRPr="00DA4B74" w:rsidTr="00052202">
        <w:tc>
          <w:tcPr>
            <w:tcW w:w="1136" w:type="pct"/>
            <w:shd w:val="clear" w:color="auto" w:fill="D9D9D9" w:themeFill="background1" w:themeFillShade="D9"/>
          </w:tcPr>
          <w:p w:rsidR="009700C9" w:rsidRPr="00DA4B74" w:rsidRDefault="0038692B" w:rsidP="00DA4B74">
            <w:pPr>
              <w:spacing w:before="120" w:after="120" w:line="240" w:lineRule="auto"/>
              <w:jc w:val="both"/>
              <w:rPr>
                <w:bCs/>
                <w:sz w:val="22"/>
              </w:rPr>
            </w:pPr>
            <w:r w:rsidRPr="00DA4B74">
              <w:rPr>
                <w:b/>
                <w:bCs/>
                <w:sz w:val="22"/>
              </w:rPr>
              <w:t>Tariff Stabilisation</w:t>
            </w:r>
          </w:p>
        </w:tc>
        <w:tc>
          <w:tcPr>
            <w:tcW w:w="1024"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Reverse</w:t>
            </w:r>
          </w:p>
        </w:tc>
        <w:tc>
          <w:tcPr>
            <w:tcW w:w="1705"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135" w:type="pct"/>
            <w:shd w:val="clear" w:color="auto" w:fill="D9D9D9" w:themeFill="background1" w:themeFillShade="D9"/>
          </w:tcPr>
          <w:p w:rsidR="009700C9" w:rsidRPr="00DA4B74" w:rsidRDefault="009700C9" w:rsidP="00DA4B74">
            <w:pPr>
              <w:spacing w:before="120" w:after="120" w:line="240" w:lineRule="auto"/>
              <w:jc w:val="both"/>
              <w:rPr>
                <w:sz w:val="22"/>
              </w:rPr>
            </w:pPr>
          </w:p>
        </w:tc>
      </w:tr>
      <w:tr w:rsidR="00AF7175" w:rsidRPr="00DA4B74" w:rsidTr="00DA4B74">
        <w:tc>
          <w:tcPr>
            <w:tcW w:w="1136" w:type="pct"/>
            <w:shd w:val="clear" w:color="auto" w:fill="auto"/>
          </w:tcPr>
          <w:p w:rsidR="009700C9" w:rsidRPr="00DA4B74" w:rsidRDefault="0038692B" w:rsidP="00DA4B74">
            <w:pPr>
              <w:spacing w:before="120" w:after="120" w:line="240" w:lineRule="auto"/>
              <w:jc w:val="both"/>
              <w:rPr>
                <w:bCs/>
                <w:sz w:val="22"/>
              </w:rPr>
            </w:pPr>
            <w:r w:rsidRPr="00DA4B74">
              <w:rPr>
                <w:b/>
                <w:bCs/>
                <w:sz w:val="22"/>
              </w:rPr>
              <w:t>Unspent Grants</w:t>
            </w:r>
          </w:p>
        </w:tc>
        <w:tc>
          <w:tcPr>
            <w:tcW w:w="1024" w:type="pct"/>
            <w:shd w:val="clear" w:color="auto" w:fill="auto"/>
          </w:tcPr>
          <w:p w:rsidR="009700C9" w:rsidRPr="00DA4B74" w:rsidRDefault="0038692B" w:rsidP="00DA4B74">
            <w:pPr>
              <w:spacing w:before="120" w:after="120" w:line="240" w:lineRule="auto"/>
              <w:jc w:val="both"/>
              <w:rPr>
                <w:sz w:val="22"/>
              </w:rPr>
            </w:pPr>
            <w:r w:rsidRPr="00DA4B74">
              <w:rPr>
                <w:sz w:val="22"/>
              </w:rPr>
              <w:t>Transfer to Liabilities</w:t>
            </w:r>
          </w:p>
        </w:tc>
        <w:tc>
          <w:tcPr>
            <w:tcW w:w="1705" w:type="pct"/>
            <w:shd w:val="clear" w:color="auto" w:fill="auto"/>
          </w:tcPr>
          <w:p w:rsidR="009700C9" w:rsidRPr="00DA4B74" w:rsidRDefault="009700C9" w:rsidP="00DA4B74">
            <w:pPr>
              <w:spacing w:before="120" w:after="120" w:line="240" w:lineRule="auto"/>
              <w:jc w:val="both"/>
              <w:rPr>
                <w:sz w:val="22"/>
              </w:rPr>
            </w:pPr>
          </w:p>
        </w:tc>
        <w:tc>
          <w:tcPr>
            <w:tcW w:w="1135" w:type="pct"/>
            <w:shd w:val="clear" w:color="auto" w:fill="auto"/>
          </w:tcPr>
          <w:p w:rsidR="009700C9" w:rsidRPr="00DA4B74" w:rsidRDefault="009700C9" w:rsidP="00DA4B74">
            <w:pPr>
              <w:spacing w:before="120" w:after="120" w:line="240" w:lineRule="auto"/>
              <w:jc w:val="both"/>
              <w:rPr>
                <w:sz w:val="22"/>
              </w:rPr>
            </w:pPr>
          </w:p>
        </w:tc>
      </w:tr>
      <w:tr w:rsidR="00AF7175" w:rsidRPr="00DA4B74" w:rsidTr="00052202">
        <w:tc>
          <w:tcPr>
            <w:tcW w:w="1136" w:type="pct"/>
            <w:shd w:val="clear" w:color="auto" w:fill="D9D9D9" w:themeFill="background1" w:themeFillShade="D9"/>
          </w:tcPr>
          <w:p w:rsidR="009700C9" w:rsidRPr="00DA4B74" w:rsidRDefault="00986CD3" w:rsidP="00DA4B74">
            <w:pPr>
              <w:spacing w:before="120" w:after="120" w:line="240" w:lineRule="auto"/>
              <w:jc w:val="both"/>
              <w:rPr>
                <w:bCs/>
                <w:sz w:val="22"/>
              </w:rPr>
            </w:pPr>
            <w:r w:rsidRPr="00DA4B74">
              <w:rPr>
                <w:b/>
                <w:bCs/>
                <w:sz w:val="22"/>
              </w:rPr>
              <w:t>Self-Insurance</w:t>
            </w:r>
          </w:p>
        </w:tc>
        <w:tc>
          <w:tcPr>
            <w:tcW w:w="1024"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Retain</w:t>
            </w:r>
          </w:p>
        </w:tc>
        <w:tc>
          <w:tcPr>
            <w:tcW w:w="1705"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The only reserve that may be retained is the self-insurance reserve.</w:t>
            </w:r>
          </w:p>
        </w:tc>
        <w:tc>
          <w:tcPr>
            <w:tcW w:w="1135"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Self-insurance Reserve</w:t>
            </w:r>
          </w:p>
        </w:tc>
      </w:tr>
      <w:tr w:rsidR="005169CC" w:rsidRPr="00DA4B74" w:rsidTr="00DA4B74">
        <w:tc>
          <w:tcPr>
            <w:tcW w:w="5000" w:type="pct"/>
            <w:gridSpan w:val="4"/>
            <w:shd w:val="clear" w:color="auto" w:fill="auto"/>
          </w:tcPr>
          <w:p w:rsidR="00152CCD" w:rsidRPr="00DA4B74" w:rsidRDefault="00152CCD" w:rsidP="00DA4B74">
            <w:pPr>
              <w:spacing w:before="120" w:after="120" w:line="240" w:lineRule="auto"/>
              <w:jc w:val="both"/>
              <w:rPr>
                <w:bCs/>
                <w:sz w:val="24"/>
                <w:szCs w:val="28"/>
              </w:rPr>
            </w:pPr>
            <w:r w:rsidRPr="00DA4B74">
              <w:rPr>
                <w:b/>
                <w:bCs/>
                <w:sz w:val="24"/>
                <w:szCs w:val="28"/>
              </w:rPr>
              <w:t>(Reference:  Chapter 5 of the National Treasury Guidelines for the Implementation of Accounting Standards of Generally Recognised Accounting Practice)</w:t>
            </w:r>
          </w:p>
        </w:tc>
      </w:tr>
      <w:tr w:rsidR="00AF7175" w:rsidRPr="00DA4B74" w:rsidTr="00052202">
        <w:tc>
          <w:tcPr>
            <w:tcW w:w="1136" w:type="pct"/>
            <w:shd w:val="clear" w:color="auto" w:fill="D9D9D9" w:themeFill="background1" w:themeFillShade="D9"/>
          </w:tcPr>
          <w:p w:rsidR="009700C9" w:rsidRPr="00DA4B74" w:rsidRDefault="0038692B" w:rsidP="00DA4B74">
            <w:pPr>
              <w:spacing w:before="120" w:after="120" w:line="240" w:lineRule="auto"/>
              <w:jc w:val="both"/>
              <w:rPr>
                <w:bCs/>
                <w:sz w:val="22"/>
              </w:rPr>
            </w:pPr>
            <w:r w:rsidRPr="00DA4B74">
              <w:rPr>
                <w:b/>
                <w:bCs/>
                <w:sz w:val="22"/>
              </w:rPr>
              <w:t>Surplus/Accumulated Deficit</w:t>
            </w:r>
          </w:p>
        </w:tc>
        <w:tc>
          <w:tcPr>
            <w:tcW w:w="1024"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Unchanged</w:t>
            </w:r>
          </w:p>
        </w:tc>
        <w:tc>
          <w:tcPr>
            <w:tcW w:w="1705"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135" w:type="pct"/>
            <w:shd w:val="clear" w:color="auto" w:fill="D9D9D9" w:themeFill="background1" w:themeFillShade="D9"/>
          </w:tcPr>
          <w:p w:rsidR="009700C9" w:rsidRPr="00DA4B74" w:rsidRDefault="0038692B" w:rsidP="00DA4B74">
            <w:pPr>
              <w:spacing w:before="120" w:after="120" w:line="240" w:lineRule="auto"/>
              <w:jc w:val="both"/>
              <w:rPr>
                <w:sz w:val="22"/>
              </w:rPr>
            </w:pPr>
            <w:r w:rsidRPr="00DA4B74">
              <w:rPr>
                <w:sz w:val="22"/>
              </w:rPr>
              <w:t>Surplus/Accumulated Deficit</w:t>
            </w:r>
          </w:p>
        </w:tc>
      </w:tr>
      <w:tr w:rsidR="004B4447" w:rsidRPr="00DA4B74" w:rsidTr="00DA4B74">
        <w:tc>
          <w:tcPr>
            <w:tcW w:w="5000" w:type="pct"/>
            <w:gridSpan w:val="4"/>
            <w:shd w:val="clear" w:color="auto" w:fill="auto"/>
          </w:tcPr>
          <w:p w:rsidR="004B4447" w:rsidRPr="00DA4B74" w:rsidRDefault="004B4447" w:rsidP="00DA4B74">
            <w:pPr>
              <w:spacing w:before="120" w:after="120" w:line="240" w:lineRule="auto"/>
              <w:jc w:val="both"/>
              <w:rPr>
                <w:b/>
                <w:bCs/>
                <w:sz w:val="24"/>
                <w:szCs w:val="28"/>
              </w:rPr>
            </w:pPr>
            <w:r w:rsidRPr="00DA4B74">
              <w:rPr>
                <w:b/>
                <w:bCs/>
                <w:sz w:val="24"/>
                <w:szCs w:val="28"/>
              </w:rPr>
              <w:t>Conclusion:</w:t>
            </w:r>
          </w:p>
          <w:p w:rsidR="004B4447" w:rsidRPr="00DA4B74" w:rsidRDefault="004B4447" w:rsidP="00DA4B74">
            <w:pPr>
              <w:spacing w:before="120" w:after="120" w:line="240" w:lineRule="auto"/>
              <w:jc w:val="both"/>
              <w:rPr>
                <w:bCs/>
                <w:sz w:val="24"/>
                <w:szCs w:val="28"/>
              </w:rPr>
            </w:pPr>
            <w:r w:rsidRPr="00DA4B74">
              <w:rPr>
                <w:b/>
                <w:bCs/>
                <w:sz w:val="24"/>
                <w:szCs w:val="28"/>
              </w:rPr>
              <w:t xml:space="preserve">The concept of rationalising excessive provisions and reserves from an annual financial statement perspective is to promote consistency and to assist users </w:t>
            </w:r>
            <w:r w:rsidR="00503691" w:rsidRPr="00DA4B74">
              <w:rPr>
                <w:b/>
                <w:bCs/>
                <w:sz w:val="24"/>
                <w:szCs w:val="28"/>
              </w:rPr>
              <w:t xml:space="preserve">in </w:t>
            </w:r>
            <w:r w:rsidRPr="00DA4B74">
              <w:rPr>
                <w:b/>
                <w:bCs/>
                <w:sz w:val="24"/>
                <w:szCs w:val="28"/>
              </w:rPr>
              <w:t>understand</w:t>
            </w:r>
            <w:r w:rsidR="00503691" w:rsidRPr="00DA4B74">
              <w:rPr>
                <w:b/>
                <w:bCs/>
                <w:sz w:val="24"/>
                <w:szCs w:val="28"/>
              </w:rPr>
              <w:t>ing</w:t>
            </w:r>
            <w:r w:rsidRPr="00DA4B74">
              <w:rPr>
                <w:b/>
                <w:bCs/>
                <w:sz w:val="24"/>
                <w:szCs w:val="28"/>
              </w:rPr>
              <w:t xml:space="preserve"> the financial performance of the municipality.  However, from a budgeting perspective, it is important that municipalities make provision for future expenditure that will ensure financial sustainability.  </w:t>
            </w:r>
            <w:r w:rsidR="00B66E3A" w:rsidRPr="00DA4B74">
              <w:rPr>
                <w:b/>
                <w:bCs/>
                <w:sz w:val="24"/>
                <w:szCs w:val="28"/>
              </w:rPr>
              <w:t>Furthermore</w:t>
            </w:r>
            <w:r w:rsidRPr="00DA4B74">
              <w:rPr>
                <w:b/>
                <w:bCs/>
                <w:sz w:val="24"/>
                <w:szCs w:val="28"/>
              </w:rPr>
              <w:t>, this must be done in a transparent manner.  These amounts will be classified as unappropriated surpluses in the annual financial statements</w:t>
            </w:r>
            <w:r w:rsidR="00152CCD" w:rsidRPr="00DA4B74">
              <w:rPr>
                <w:b/>
                <w:bCs/>
                <w:sz w:val="24"/>
                <w:szCs w:val="28"/>
              </w:rPr>
              <w:t>.</w:t>
            </w:r>
          </w:p>
          <w:p w:rsidR="00152CCD" w:rsidRPr="00DA4B74" w:rsidRDefault="00152CCD" w:rsidP="00DA4B74">
            <w:pPr>
              <w:spacing w:before="120" w:after="120" w:line="240" w:lineRule="auto"/>
              <w:jc w:val="both"/>
              <w:rPr>
                <w:bCs/>
                <w:sz w:val="24"/>
                <w:szCs w:val="28"/>
              </w:rPr>
            </w:pPr>
            <w:r w:rsidRPr="00DA4B74">
              <w:rPr>
                <w:b/>
                <w:bCs/>
                <w:sz w:val="24"/>
                <w:szCs w:val="28"/>
              </w:rPr>
              <w:t>(Reference:  Chapter 6 of the National Treasury Guidelines for the Implementation of Accounting Standards of Generally Recognised Accounting Practice)</w:t>
            </w:r>
          </w:p>
        </w:tc>
      </w:tr>
      <w:tr w:rsidR="00AF7175" w:rsidRPr="00DA4B74" w:rsidTr="00052202">
        <w:tc>
          <w:tcPr>
            <w:tcW w:w="1136" w:type="pct"/>
            <w:shd w:val="clear" w:color="auto" w:fill="D9D9D9" w:themeFill="background1" w:themeFillShade="D9"/>
          </w:tcPr>
          <w:p w:rsidR="009700C9" w:rsidRPr="00DA4B74" w:rsidRDefault="00DC36F6" w:rsidP="00DA4B74">
            <w:pPr>
              <w:keepNext/>
              <w:spacing w:before="120" w:after="120" w:line="240" w:lineRule="auto"/>
              <w:jc w:val="both"/>
              <w:rPr>
                <w:b/>
                <w:bCs/>
                <w:sz w:val="22"/>
              </w:rPr>
            </w:pPr>
            <w:r w:rsidRPr="00DA4B74">
              <w:rPr>
                <w:b/>
                <w:bCs/>
                <w:sz w:val="22"/>
              </w:rPr>
              <w:t>TRUST FUNDS</w:t>
            </w:r>
          </w:p>
        </w:tc>
        <w:tc>
          <w:tcPr>
            <w:tcW w:w="1024"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705" w:type="pct"/>
            <w:shd w:val="clear" w:color="auto" w:fill="D9D9D9" w:themeFill="background1" w:themeFillShade="D9"/>
          </w:tcPr>
          <w:p w:rsidR="009700C9" w:rsidRPr="00DA4B74" w:rsidRDefault="009700C9" w:rsidP="00DA4B74">
            <w:pPr>
              <w:spacing w:before="120" w:after="120" w:line="240" w:lineRule="auto"/>
              <w:jc w:val="both"/>
              <w:rPr>
                <w:sz w:val="22"/>
              </w:rPr>
            </w:pPr>
          </w:p>
        </w:tc>
        <w:tc>
          <w:tcPr>
            <w:tcW w:w="1135" w:type="pct"/>
            <w:shd w:val="clear" w:color="auto" w:fill="D9D9D9" w:themeFill="background1" w:themeFillShade="D9"/>
          </w:tcPr>
          <w:p w:rsidR="009700C9" w:rsidRPr="00DA4B74" w:rsidRDefault="009700C9" w:rsidP="00DA4B74">
            <w:pPr>
              <w:spacing w:before="120" w:after="120" w:line="240" w:lineRule="auto"/>
              <w:jc w:val="both"/>
              <w:rPr>
                <w:sz w:val="22"/>
              </w:rPr>
            </w:pPr>
          </w:p>
        </w:tc>
      </w:tr>
      <w:tr w:rsidR="00AF7175" w:rsidRPr="00DA4B74" w:rsidTr="00DA4B74">
        <w:tc>
          <w:tcPr>
            <w:tcW w:w="1136" w:type="pct"/>
            <w:shd w:val="clear" w:color="auto" w:fill="auto"/>
          </w:tcPr>
          <w:p w:rsidR="009700C9" w:rsidRPr="00DA4B74" w:rsidRDefault="00DC36F6" w:rsidP="00DA4B74">
            <w:pPr>
              <w:keepNext/>
              <w:spacing w:before="120" w:after="120" w:line="240" w:lineRule="auto"/>
              <w:jc w:val="both"/>
              <w:rPr>
                <w:bCs/>
                <w:sz w:val="22"/>
              </w:rPr>
            </w:pPr>
            <w:r w:rsidRPr="00DA4B74">
              <w:rPr>
                <w:b/>
                <w:bCs/>
                <w:sz w:val="22"/>
              </w:rPr>
              <w:t>Unspent Government Grants</w:t>
            </w:r>
          </w:p>
        </w:tc>
        <w:tc>
          <w:tcPr>
            <w:tcW w:w="1024" w:type="pct"/>
            <w:shd w:val="clear" w:color="auto" w:fill="auto"/>
          </w:tcPr>
          <w:p w:rsidR="009700C9" w:rsidRPr="00DA4B74" w:rsidRDefault="00DC36F6" w:rsidP="00DA4B74">
            <w:pPr>
              <w:spacing w:before="120" w:after="120" w:line="240" w:lineRule="auto"/>
              <w:jc w:val="both"/>
              <w:rPr>
                <w:sz w:val="22"/>
              </w:rPr>
            </w:pPr>
            <w:r w:rsidRPr="00DA4B74">
              <w:rPr>
                <w:sz w:val="22"/>
              </w:rPr>
              <w:t>Transfer to Liabilities</w:t>
            </w:r>
          </w:p>
        </w:tc>
        <w:tc>
          <w:tcPr>
            <w:tcW w:w="1705" w:type="pct"/>
            <w:shd w:val="clear" w:color="auto" w:fill="auto"/>
          </w:tcPr>
          <w:p w:rsidR="009700C9" w:rsidRPr="00DA4B74" w:rsidRDefault="00DC36F6" w:rsidP="00DA4B74">
            <w:pPr>
              <w:spacing w:before="120" w:after="120" w:line="240" w:lineRule="auto"/>
              <w:jc w:val="both"/>
              <w:rPr>
                <w:sz w:val="22"/>
              </w:rPr>
            </w:pPr>
            <w:r w:rsidRPr="00DA4B74">
              <w:rPr>
                <w:sz w:val="22"/>
              </w:rPr>
              <w:t>Traditionally the terminology “monies held in trust” with specific reference to government grants, was disclosed as a trust fund.  This is incorrect,</w:t>
            </w:r>
            <w:r w:rsidR="0039404A" w:rsidRPr="00DA4B74">
              <w:rPr>
                <w:sz w:val="22"/>
              </w:rPr>
              <w:t xml:space="preserve"> as unsp</w:t>
            </w:r>
            <w:r w:rsidRPr="00DA4B74">
              <w:rPr>
                <w:sz w:val="22"/>
              </w:rPr>
              <w:t>ent government grants are liabilities and should be disclosed as such.  Only where the municipality is a trustee of a trust in terms of the trust deed should the terminology “trust funds” be used.  These “trust funds” are disclosed as liabilities in the new standards format Statement of Financial Position.</w:t>
            </w:r>
          </w:p>
        </w:tc>
        <w:tc>
          <w:tcPr>
            <w:tcW w:w="1135" w:type="pct"/>
            <w:shd w:val="clear" w:color="auto" w:fill="auto"/>
          </w:tcPr>
          <w:p w:rsidR="009700C9" w:rsidRPr="00DA4B74" w:rsidRDefault="00A33BAC" w:rsidP="00DA4B74">
            <w:pPr>
              <w:spacing w:before="120" w:after="120" w:line="240" w:lineRule="auto"/>
              <w:jc w:val="both"/>
              <w:rPr>
                <w:sz w:val="22"/>
              </w:rPr>
            </w:pPr>
            <w:r w:rsidRPr="00DA4B74">
              <w:rPr>
                <w:sz w:val="22"/>
              </w:rPr>
              <w:t>Liabilities Trust Fund – where municipality is trustee in terms of a trust deed.</w:t>
            </w:r>
          </w:p>
        </w:tc>
      </w:tr>
      <w:tr w:rsidR="00AF7175" w:rsidRPr="00DA4B74" w:rsidTr="00052202">
        <w:tc>
          <w:tcPr>
            <w:tcW w:w="1136" w:type="pct"/>
            <w:shd w:val="clear" w:color="auto" w:fill="D9D9D9" w:themeFill="background1" w:themeFillShade="D9"/>
          </w:tcPr>
          <w:p w:rsidR="009700C9" w:rsidRPr="00052202" w:rsidRDefault="00DC36F6" w:rsidP="00052202">
            <w:pPr>
              <w:keepNext/>
              <w:spacing w:before="120" w:after="120" w:line="240" w:lineRule="auto"/>
              <w:jc w:val="both"/>
              <w:rPr>
                <w:b/>
                <w:bCs/>
                <w:sz w:val="22"/>
              </w:rPr>
            </w:pPr>
            <w:r w:rsidRPr="00052202">
              <w:rPr>
                <w:b/>
                <w:bCs/>
                <w:sz w:val="22"/>
              </w:rPr>
              <w:t>Trusts where municipality is trustee</w:t>
            </w:r>
          </w:p>
        </w:tc>
        <w:tc>
          <w:tcPr>
            <w:tcW w:w="1024" w:type="pct"/>
            <w:shd w:val="clear" w:color="auto" w:fill="D9D9D9" w:themeFill="background1" w:themeFillShade="D9"/>
          </w:tcPr>
          <w:p w:rsidR="009700C9" w:rsidRPr="00DA4B74" w:rsidRDefault="00DC36F6" w:rsidP="00DA4B74">
            <w:pPr>
              <w:spacing w:before="120" w:after="120" w:line="240" w:lineRule="auto"/>
              <w:jc w:val="both"/>
              <w:rPr>
                <w:sz w:val="28"/>
                <w:szCs w:val="28"/>
              </w:rPr>
            </w:pPr>
            <w:r w:rsidRPr="00052202">
              <w:rPr>
                <w:sz w:val="22"/>
              </w:rPr>
              <w:t>Retain</w:t>
            </w:r>
          </w:p>
        </w:tc>
        <w:tc>
          <w:tcPr>
            <w:tcW w:w="1705" w:type="pct"/>
            <w:shd w:val="clear" w:color="auto" w:fill="D9D9D9" w:themeFill="background1" w:themeFillShade="D9"/>
          </w:tcPr>
          <w:p w:rsidR="009700C9" w:rsidRPr="00DA4B74" w:rsidRDefault="009700C9" w:rsidP="00DA4B74">
            <w:pPr>
              <w:spacing w:before="120" w:after="120" w:line="240" w:lineRule="auto"/>
              <w:jc w:val="both"/>
              <w:rPr>
                <w:sz w:val="24"/>
                <w:szCs w:val="28"/>
              </w:rPr>
            </w:pPr>
          </w:p>
        </w:tc>
        <w:tc>
          <w:tcPr>
            <w:tcW w:w="1135" w:type="pct"/>
            <w:shd w:val="clear" w:color="auto" w:fill="D9D9D9" w:themeFill="background1" w:themeFillShade="D9"/>
          </w:tcPr>
          <w:p w:rsidR="009700C9" w:rsidRPr="00DA4B74" w:rsidRDefault="009700C9" w:rsidP="00DA4B74">
            <w:pPr>
              <w:spacing w:before="120" w:after="120" w:line="240" w:lineRule="auto"/>
              <w:jc w:val="both"/>
              <w:rPr>
                <w:sz w:val="28"/>
                <w:szCs w:val="28"/>
              </w:rPr>
            </w:pPr>
          </w:p>
        </w:tc>
      </w:tr>
      <w:tr w:rsidR="00B01319" w:rsidRPr="00DA4B74" w:rsidTr="00DA4B74">
        <w:tc>
          <w:tcPr>
            <w:tcW w:w="5000" w:type="pct"/>
            <w:gridSpan w:val="4"/>
            <w:shd w:val="clear" w:color="auto" w:fill="auto"/>
          </w:tcPr>
          <w:p w:rsidR="00384722" w:rsidRPr="00DA4B74" w:rsidRDefault="00384722" w:rsidP="00DA4B74">
            <w:pPr>
              <w:spacing w:before="120" w:after="120" w:line="240" w:lineRule="auto"/>
              <w:jc w:val="both"/>
              <w:rPr>
                <w:bCs/>
                <w:sz w:val="24"/>
                <w:szCs w:val="28"/>
              </w:rPr>
            </w:pPr>
            <w:r w:rsidRPr="00DA4B74">
              <w:rPr>
                <w:b/>
                <w:bCs/>
                <w:sz w:val="24"/>
                <w:szCs w:val="28"/>
              </w:rPr>
              <w:t xml:space="preserve">There is a misconception regarding the use of trust funds in municipalities nationally.  In the Western Cape in particular, trust funds are established for unspent provincial grants or where municipalities have an obligation to undertake an activity at a future date.  This accounting treatment is not correct, as these municipalities are not trustees nor has a formal trust fund been established.  </w:t>
            </w:r>
          </w:p>
          <w:p w:rsidR="00384722" w:rsidRPr="00DA4B74" w:rsidRDefault="00384722" w:rsidP="00DA4B74">
            <w:pPr>
              <w:spacing w:before="120" w:after="120" w:line="240" w:lineRule="auto"/>
              <w:jc w:val="both"/>
              <w:rPr>
                <w:bCs/>
                <w:sz w:val="24"/>
                <w:szCs w:val="28"/>
              </w:rPr>
            </w:pPr>
            <w:r w:rsidRPr="00DA4B74">
              <w:rPr>
                <w:b/>
                <w:bCs/>
                <w:sz w:val="24"/>
                <w:szCs w:val="28"/>
              </w:rPr>
              <w:t xml:space="preserve">The general rule is that where a municipality is appointed trustee in terms of a trust deed, then the assets and wealth must be recorded in a trust fund and shown as such in the Statement of Financial Position.  Municipalities should maintain separate accounting records for the trust, but will include the assets and wealth of the trust fund on its Statement of Financial Position, because, as trustee, the assets of the trust vest in the municipality concerned in its capacity as trustee. </w:t>
            </w:r>
          </w:p>
          <w:p w:rsidR="00384722" w:rsidRPr="00DA4B74" w:rsidRDefault="00384722" w:rsidP="00DA4B74">
            <w:pPr>
              <w:spacing w:before="120" w:after="120" w:line="240" w:lineRule="auto"/>
              <w:jc w:val="both"/>
              <w:rPr>
                <w:bCs/>
                <w:sz w:val="24"/>
                <w:szCs w:val="28"/>
              </w:rPr>
            </w:pPr>
            <w:r w:rsidRPr="00DA4B74">
              <w:rPr>
                <w:b/>
                <w:bCs/>
                <w:sz w:val="24"/>
                <w:szCs w:val="28"/>
              </w:rPr>
              <w:t>Interest earned on trust fund investments cannot be included in the municipality’s Statement of Financial Performance, as the interest accrues to the trust.  There is a need for municipalities to review existing trusts disclosed as such in the balance sheet. Only where there is a trust deed and the municipality is trustee should trust funds be disclosed in the Statement of Financial Position as a trust.</w:t>
            </w:r>
          </w:p>
          <w:p w:rsidR="00B01319" w:rsidRPr="00DA4B74" w:rsidRDefault="00384722" w:rsidP="00DA4B74">
            <w:pPr>
              <w:spacing w:before="120" w:after="120" w:line="240" w:lineRule="auto"/>
              <w:jc w:val="both"/>
              <w:rPr>
                <w:bCs/>
                <w:sz w:val="24"/>
                <w:szCs w:val="28"/>
              </w:rPr>
            </w:pPr>
            <w:r w:rsidRPr="00DA4B74">
              <w:rPr>
                <w:b/>
                <w:bCs/>
                <w:sz w:val="24"/>
                <w:szCs w:val="28"/>
              </w:rPr>
              <w:t xml:space="preserve">Examples of where municipalities may need to reclassify certain transactions that up to now have been classified as trusts are as follows:  Capital grants from the provincial government: These should be classified as Unspent Capital Receipts in terms of the new capital accounting model.  Mayor’s Charity/Christmas Funds/Flood Relief: If funds collected are deposited in the municipal bank accounts, the municipality has an obligation to the Fund.  This obligation should be raised as a liability.  National Treasury Financial Management and Restructuring Grants: These are operational grants and should be credited to revenue once the conditions have been fulfilled. There is an obligation to the National Treasury until the conditions of the grant have been met.  </w:t>
            </w:r>
          </w:p>
          <w:p w:rsidR="00152CCD" w:rsidRPr="00DA4B74" w:rsidRDefault="00152CCD" w:rsidP="00DA4B74">
            <w:pPr>
              <w:spacing w:before="120" w:after="120" w:line="240" w:lineRule="auto"/>
              <w:jc w:val="both"/>
              <w:rPr>
                <w:bCs/>
                <w:sz w:val="24"/>
                <w:szCs w:val="28"/>
              </w:rPr>
            </w:pPr>
            <w:r w:rsidRPr="00DA4B74">
              <w:rPr>
                <w:b/>
                <w:bCs/>
                <w:sz w:val="24"/>
                <w:szCs w:val="28"/>
              </w:rPr>
              <w:t>(Reference:  Chapter 6 of the National Treasury Guidelines for the Implementation of Accounting Standards of Generally Recognised Accounting Practice)</w:t>
            </w:r>
          </w:p>
        </w:tc>
      </w:tr>
      <w:tr w:rsidR="0039404A" w:rsidRPr="00DA4B74" w:rsidTr="00052202">
        <w:tc>
          <w:tcPr>
            <w:tcW w:w="5000" w:type="pct"/>
            <w:gridSpan w:val="4"/>
            <w:shd w:val="clear" w:color="auto" w:fill="D9D9D9" w:themeFill="background1" w:themeFillShade="D9"/>
          </w:tcPr>
          <w:p w:rsidR="0039404A" w:rsidRPr="00DA4B74" w:rsidRDefault="0039404A" w:rsidP="00DA4B74">
            <w:pPr>
              <w:spacing w:before="120" w:after="120" w:line="240" w:lineRule="auto"/>
              <w:jc w:val="both"/>
              <w:rPr>
                <w:b/>
                <w:bCs/>
                <w:sz w:val="24"/>
                <w:szCs w:val="28"/>
              </w:rPr>
            </w:pPr>
            <w:r w:rsidRPr="00DA4B74">
              <w:rPr>
                <w:b/>
                <w:bCs/>
                <w:sz w:val="24"/>
                <w:szCs w:val="28"/>
              </w:rPr>
              <w:t>PROPERTY, PLANT AND EQUIPMENT</w:t>
            </w:r>
          </w:p>
        </w:tc>
      </w:tr>
      <w:tr w:rsidR="00AF7175" w:rsidRPr="00DA4B74" w:rsidTr="00DA4B74">
        <w:tc>
          <w:tcPr>
            <w:tcW w:w="1136" w:type="pct"/>
            <w:shd w:val="clear" w:color="auto" w:fill="auto"/>
          </w:tcPr>
          <w:p w:rsidR="009700C9" w:rsidRPr="00DA4B74" w:rsidRDefault="0039404A" w:rsidP="00DA4B74">
            <w:pPr>
              <w:spacing w:before="120" w:after="120" w:line="240" w:lineRule="auto"/>
              <w:jc w:val="both"/>
              <w:rPr>
                <w:bCs/>
                <w:sz w:val="22"/>
              </w:rPr>
            </w:pPr>
            <w:r w:rsidRPr="00DA4B74">
              <w:rPr>
                <w:b/>
                <w:bCs/>
                <w:sz w:val="22"/>
              </w:rPr>
              <w:t>PPE at Cost</w:t>
            </w:r>
          </w:p>
          <w:p w:rsidR="0039404A" w:rsidRPr="00DA4B74" w:rsidRDefault="0039404A" w:rsidP="00DA4B74">
            <w:pPr>
              <w:spacing w:before="120" w:after="120" w:line="240" w:lineRule="auto"/>
              <w:jc w:val="both"/>
              <w:rPr>
                <w:bCs/>
                <w:sz w:val="22"/>
              </w:rPr>
            </w:pPr>
            <w:r w:rsidRPr="00DA4B74">
              <w:rPr>
                <w:b/>
                <w:bCs/>
                <w:sz w:val="22"/>
              </w:rPr>
              <w:t>Less:  Loans Redeemed and other Capital Receipts</w:t>
            </w:r>
          </w:p>
          <w:p w:rsidR="0039404A" w:rsidRPr="00DA4B74" w:rsidRDefault="0039404A" w:rsidP="00DA4B74">
            <w:pPr>
              <w:spacing w:before="120" w:after="120" w:line="240" w:lineRule="auto"/>
              <w:jc w:val="both"/>
              <w:rPr>
                <w:bCs/>
                <w:sz w:val="22"/>
              </w:rPr>
            </w:pPr>
            <w:r w:rsidRPr="00DA4B74">
              <w:rPr>
                <w:b/>
                <w:bCs/>
                <w:sz w:val="22"/>
              </w:rPr>
              <w:t>Loans Redeemed</w:t>
            </w:r>
          </w:p>
          <w:p w:rsidR="0039404A" w:rsidRPr="00DA4B74" w:rsidRDefault="0039404A" w:rsidP="00DA4B74">
            <w:pPr>
              <w:spacing w:before="120" w:after="120" w:line="240" w:lineRule="auto"/>
              <w:jc w:val="both"/>
              <w:rPr>
                <w:bCs/>
                <w:sz w:val="22"/>
              </w:rPr>
            </w:pPr>
            <w:r w:rsidRPr="00DA4B74">
              <w:rPr>
                <w:b/>
                <w:bCs/>
                <w:sz w:val="22"/>
              </w:rPr>
              <w:t>Contributions from revenue</w:t>
            </w:r>
          </w:p>
          <w:p w:rsidR="0039404A" w:rsidRPr="00DA4B74" w:rsidRDefault="0039404A" w:rsidP="00DA4B74">
            <w:pPr>
              <w:spacing w:before="120" w:after="120" w:line="240" w:lineRule="auto"/>
              <w:jc w:val="both"/>
              <w:rPr>
                <w:bCs/>
                <w:sz w:val="22"/>
              </w:rPr>
            </w:pPr>
            <w:r w:rsidRPr="00DA4B74">
              <w:rPr>
                <w:b/>
                <w:bCs/>
                <w:sz w:val="22"/>
              </w:rPr>
              <w:t>Government Grants</w:t>
            </w:r>
          </w:p>
          <w:p w:rsidR="0039404A" w:rsidRPr="00DA4B74" w:rsidRDefault="0039404A" w:rsidP="00DA4B74">
            <w:pPr>
              <w:spacing w:before="120" w:after="120" w:line="240" w:lineRule="auto"/>
              <w:jc w:val="both"/>
              <w:rPr>
                <w:bCs/>
                <w:sz w:val="22"/>
              </w:rPr>
            </w:pPr>
            <w:r w:rsidRPr="00DA4B74">
              <w:rPr>
                <w:b/>
                <w:bCs/>
                <w:sz w:val="22"/>
              </w:rPr>
              <w:t>Public Contributions</w:t>
            </w:r>
          </w:p>
        </w:tc>
        <w:tc>
          <w:tcPr>
            <w:tcW w:w="1024" w:type="pct"/>
            <w:shd w:val="clear" w:color="auto" w:fill="auto"/>
          </w:tcPr>
          <w:p w:rsidR="009700C9" w:rsidRPr="00DA4B74" w:rsidRDefault="0039404A" w:rsidP="00DA4B74">
            <w:pPr>
              <w:spacing w:before="120" w:after="120" w:line="240" w:lineRule="auto"/>
              <w:jc w:val="both"/>
              <w:rPr>
                <w:sz w:val="22"/>
              </w:rPr>
            </w:pPr>
            <w:r w:rsidRPr="00DA4B74">
              <w:rPr>
                <w:sz w:val="22"/>
              </w:rPr>
              <w:t>Unchanged</w:t>
            </w:r>
          </w:p>
          <w:p w:rsidR="0039404A" w:rsidRPr="00DA4B74" w:rsidRDefault="0039404A" w:rsidP="00DA4B74">
            <w:pPr>
              <w:spacing w:before="120" w:after="120" w:line="240" w:lineRule="auto"/>
              <w:jc w:val="both"/>
              <w:rPr>
                <w:sz w:val="22"/>
              </w:rPr>
            </w:pPr>
            <w:r w:rsidRPr="00DA4B74">
              <w:rPr>
                <w:sz w:val="22"/>
              </w:rPr>
              <w:t>Unbundled</w:t>
            </w:r>
          </w:p>
        </w:tc>
        <w:tc>
          <w:tcPr>
            <w:tcW w:w="1705" w:type="pct"/>
            <w:shd w:val="clear" w:color="auto" w:fill="auto"/>
          </w:tcPr>
          <w:p w:rsidR="0039404A" w:rsidRPr="00DA4B74" w:rsidRDefault="0039404A" w:rsidP="00DA4B74">
            <w:pPr>
              <w:spacing w:before="120" w:after="120" w:line="240" w:lineRule="auto"/>
              <w:jc w:val="both"/>
              <w:rPr>
                <w:sz w:val="24"/>
                <w:szCs w:val="28"/>
              </w:rPr>
            </w:pPr>
            <w:r w:rsidRPr="00DA4B74">
              <w:rPr>
                <w:sz w:val="24"/>
                <w:szCs w:val="28"/>
              </w:rPr>
              <w:t>A comprehensive asset register must be prepared.  Once prepared, loans redeemed and other capital receipts must be reversed.  Loans Redeemed and Other Capital Receipts must initially be used for finance backlog depreciation and establish the future depreciation reserves</w:t>
            </w:r>
            <w:r w:rsidR="0096741D" w:rsidRPr="00DA4B74">
              <w:rPr>
                <w:sz w:val="24"/>
                <w:szCs w:val="28"/>
              </w:rPr>
              <w:t>;</w:t>
            </w:r>
            <w:r w:rsidRPr="00DA4B74">
              <w:rPr>
                <w:sz w:val="24"/>
                <w:szCs w:val="28"/>
              </w:rPr>
              <w:t xml:space="preserve"> and</w:t>
            </w:r>
            <w:r w:rsidR="0096741D" w:rsidRPr="00DA4B74">
              <w:rPr>
                <w:sz w:val="24"/>
                <w:szCs w:val="28"/>
              </w:rPr>
              <w:t>,</w:t>
            </w:r>
            <w:r w:rsidRPr="00DA4B74">
              <w:rPr>
                <w:sz w:val="24"/>
                <w:szCs w:val="28"/>
              </w:rPr>
              <w:t xml:space="preserve"> the residual balance remaining must be transferred to either the Asset Finance Reserve or unappropriated surpluses.</w:t>
            </w:r>
          </w:p>
        </w:tc>
        <w:tc>
          <w:tcPr>
            <w:tcW w:w="1135" w:type="pct"/>
            <w:shd w:val="clear" w:color="auto" w:fill="auto"/>
          </w:tcPr>
          <w:p w:rsidR="009700C9" w:rsidRPr="00DA4B74" w:rsidRDefault="0039404A" w:rsidP="00DA4B74">
            <w:pPr>
              <w:spacing w:before="120" w:after="120" w:line="240" w:lineRule="auto"/>
              <w:jc w:val="both"/>
              <w:rPr>
                <w:sz w:val="22"/>
              </w:rPr>
            </w:pPr>
            <w:r w:rsidRPr="00DA4B74">
              <w:rPr>
                <w:sz w:val="22"/>
              </w:rPr>
              <w:t>PPE at cost</w:t>
            </w:r>
          </w:p>
          <w:p w:rsidR="0039404A" w:rsidRPr="00DA4B74" w:rsidRDefault="0039404A" w:rsidP="00DA4B74">
            <w:pPr>
              <w:spacing w:before="120" w:after="120" w:line="240" w:lineRule="auto"/>
              <w:jc w:val="both"/>
              <w:rPr>
                <w:sz w:val="22"/>
              </w:rPr>
            </w:pPr>
            <w:r w:rsidRPr="00DA4B74">
              <w:rPr>
                <w:sz w:val="22"/>
              </w:rPr>
              <w:t>Less Accumulated Depreciations</w:t>
            </w:r>
          </w:p>
          <w:p w:rsidR="008E1A96" w:rsidRPr="00DA4B74" w:rsidRDefault="008E1A96" w:rsidP="00DA4B74">
            <w:pPr>
              <w:spacing w:before="120" w:after="120" w:line="240" w:lineRule="auto"/>
              <w:jc w:val="both"/>
              <w:rPr>
                <w:sz w:val="28"/>
                <w:szCs w:val="28"/>
              </w:rPr>
            </w:pPr>
          </w:p>
        </w:tc>
      </w:tr>
      <w:tr w:rsidR="007C781D" w:rsidRPr="00DA4B74" w:rsidTr="00052202">
        <w:tc>
          <w:tcPr>
            <w:tcW w:w="5000" w:type="pct"/>
            <w:gridSpan w:val="4"/>
            <w:shd w:val="clear" w:color="auto" w:fill="D9D9D9" w:themeFill="background1" w:themeFillShade="D9"/>
          </w:tcPr>
          <w:p w:rsidR="006A2552" w:rsidRPr="00DA4B74" w:rsidRDefault="006A2552" w:rsidP="00DA4B74">
            <w:pPr>
              <w:spacing w:before="120" w:after="120" w:line="240" w:lineRule="auto"/>
              <w:jc w:val="both"/>
              <w:rPr>
                <w:b/>
                <w:bCs/>
                <w:sz w:val="24"/>
                <w:szCs w:val="28"/>
              </w:rPr>
            </w:pPr>
            <w:r w:rsidRPr="00DA4B74">
              <w:rPr>
                <w:b/>
                <w:bCs/>
                <w:sz w:val="24"/>
                <w:szCs w:val="28"/>
              </w:rPr>
              <w:t>The New Capital Accounting Model</w:t>
            </w:r>
          </w:p>
          <w:p w:rsidR="000634FD" w:rsidRPr="00DA4B74" w:rsidRDefault="00E34128" w:rsidP="00DA4B74">
            <w:pPr>
              <w:spacing w:before="120" w:after="120" w:line="240" w:lineRule="auto"/>
              <w:jc w:val="both"/>
              <w:rPr>
                <w:bCs/>
                <w:sz w:val="24"/>
                <w:szCs w:val="28"/>
              </w:rPr>
            </w:pPr>
            <w:r w:rsidRPr="00DA4B74">
              <w:rPr>
                <w:b/>
                <w:bCs/>
                <w:sz w:val="24"/>
                <w:szCs w:val="28"/>
              </w:rPr>
              <w:t>The principle of surplus cash financing is that a municipality uses its own internal cash flow to</w:t>
            </w:r>
            <w:r w:rsidR="000634FD" w:rsidRPr="00DA4B74">
              <w:rPr>
                <w:b/>
                <w:bCs/>
                <w:sz w:val="24"/>
                <w:szCs w:val="28"/>
              </w:rPr>
              <w:t xml:space="preserve"> </w:t>
            </w:r>
            <w:r w:rsidRPr="00DA4B74">
              <w:rPr>
                <w:b/>
                <w:bCs/>
                <w:sz w:val="24"/>
                <w:szCs w:val="28"/>
              </w:rPr>
              <w:t xml:space="preserve">acquire items of property, plant and equipment. </w:t>
            </w:r>
            <w:r w:rsidR="000634FD" w:rsidRPr="00DA4B74">
              <w:rPr>
                <w:b/>
                <w:bCs/>
                <w:sz w:val="24"/>
                <w:szCs w:val="28"/>
              </w:rPr>
              <w:t xml:space="preserve"> </w:t>
            </w:r>
            <w:r w:rsidRPr="00DA4B74">
              <w:rPr>
                <w:b/>
                <w:bCs/>
                <w:sz w:val="24"/>
                <w:szCs w:val="28"/>
              </w:rPr>
              <w:t>Once acquired, these items of property, plant</w:t>
            </w:r>
            <w:r w:rsidR="000634FD" w:rsidRPr="00DA4B74">
              <w:rPr>
                <w:b/>
                <w:bCs/>
                <w:sz w:val="24"/>
                <w:szCs w:val="28"/>
              </w:rPr>
              <w:t xml:space="preserve"> </w:t>
            </w:r>
            <w:r w:rsidRPr="00DA4B74">
              <w:rPr>
                <w:b/>
                <w:bCs/>
                <w:sz w:val="24"/>
                <w:szCs w:val="28"/>
              </w:rPr>
              <w:t xml:space="preserve">and equipment are depreciated. </w:t>
            </w:r>
            <w:r w:rsidR="000634FD" w:rsidRPr="00DA4B74">
              <w:rPr>
                <w:b/>
                <w:bCs/>
                <w:sz w:val="24"/>
                <w:szCs w:val="28"/>
              </w:rPr>
              <w:t xml:space="preserve"> </w:t>
            </w:r>
            <w:r w:rsidRPr="00DA4B74">
              <w:rPr>
                <w:b/>
                <w:bCs/>
                <w:sz w:val="24"/>
                <w:szCs w:val="28"/>
              </w:rPr>
              <w:t>Cash flows may be generated from the disposal of property,</w:t>
            </w:r>
            <w:r w:rsidR="000634FD" w:rsidRPr="00DA4B74">
              <w:rPr>
                <w:b/>
                <w:bCs/>
                <w:sz w:val="24"/>
                <w:szCs w:val="28"/>
              </w:rPr>
              <w:t xml:space="preserve"> </w:t>
            </w:r>
            <w:r w:rsidRPr="00DA4B74">
              <w:rPr>
                <w:b/>
                <w:bCs/>
                <w:sz w:val="24"/>
                <w:szCs w:val="28"/>
              </w:rPr>
              <w:t>plant and equipment, working capital management and operating surpluses.</w:t>
            </w:r>
          </w:p>
          <w:p w:rsidR="00EC5D6A" w:rsidRPr="00DA4B74" w:rsidRDefault="00E34128" w:rsidP="00DA4B74">
            <w:pPr>
              <w:spacing w:before="120" w:after="120" w:line="240" w:lineRule="auto"/>
              <w:jc w:val="both"/>
              <w:rPr>
                <w:bCs/>
                <w:sz w:val="24"/>
                <w:szCs w:val="28"/>
              </w:rPr>
            </w:pPr>
            <w:r w:rsidRPr="00DA4B74">
              <w:rPr>
                <w:b/>
                <w:bCs/>
                <w:sz w:val="24"/>
                <w:szCs w:val="28"/>
              </w:rPr>
              <w:t>The principle of external loans is that external loans are ring-fenced using a memorandum</w:t>
            </w:r>
            <w:r w:rsidR="00EC5D6A" w:rsidRPr="00DA4B74">
              <w:rPr>
                <w:b/>
                <w:bCs/>
                <w:sz w:val="24"/>
                <w:szCs w:val="28"/>
              </w:rPr>
              <w:t xml:space="preserve"> </w:t>
            </w:r>
            <w:r w:rsidRPr="00DA4B74">
              <w:rPr>
                <w:b/>
                <w:bCs/>
                <w:sz w:val="24"/>
                <w:szCs w:val="28"/>
              </w:rPr>
              <w:t>system of accounting called the External Financing Fund (the EFF). The E</w:t>
            </w:r>
            <w:r w:rsidR="00C67F00" w:rsidRPr="00DA4B74">
              <w:rPr>
                <w:b/>
                <w:bCs/>
                <w:sz w:val="24"/>
                <w:szCs w:val="28"/>
              </w:rPr>
              <w:t xml:space="preserve">xternal </w:t>
            </w:r>
            <w:r w:rsidRPr="00DA4B74">
              <w:rPr>
                <w:b/>
                <w:bCs/>
                <w:sz w:val="24"/>
                <w:szCs w:val="28"/>
              </w:rPr>
              <w:t>F</w:t>
            </w:r>
            <w:r w:rsidR="00C67F00" w:rsidRPr="00DA4B74">
              <w:rPr>
                <w:b/>
                <w:bCs/>
                <w:sz w:val="24"/>
                <w:szCs w:val="28"/>
              </w:rPr>
              <w:t xml:space="preserve">inancing </w:t>
            </w:r>
            <w:r w:rsidRPr="00DA4B74">
              <w:rPr>
                <w:b/>
                <w:bCs/>
                <w:sz w:val="24"/>
                <w:szCs w:val="28"/>
              </w:rPr>
              <w:t>F</w:t>
            </w:r>
            <w:r w:rsidR="00C67F00" w:rsidRPr="00DA4B74">
              <w:rPr>
                <w:b/>
                <w:bCs/>
                <w:sz w:val="24"/>
                <w:szCs w:val="28"/>
              </w:rPr>
              <w:t>und</w:t>
            </w:r>
            <w:r w:rsidRPr="00DA4B74">
              <w:rPr>
                <w:b/>
                <w:bCs/>
                <w:sz w:val="24"/>
                <w:szCs w:val="28"/>
              </w:rPr>
              <w:t xml:space="preserve"> enables a</w:t>
            </w:r>
            <w:r w:rsidR="00EC5D6A" w:rsidRPr="00DA4B74">
              <w:rPr>
                <w:b/>
                <w:bCs/>
                <w:sz w:val="24"/>
                <w:szCs w:val="28"/>
              </w:rPr>
              <w:t xml:space="preserve"> municipality to:</w:t>
            </w:r>
          </w:p>
          <w:p w:rsidR="00EC5D6A" w:rsidRPr="00DA4B74" w:rsidRDefault="00E34128" w:rsidP="00DA4B74">
            <w:pPr>
              <w:pStyle w:val="BulletParagraphs"/>
              <w:jc w:val="both"/>
              <w:rPr>
                <w:bCs/>
                <w:sz w:val="24"/>
                <w:szCs w:val="28"/>
              </w:rPr>
            </w:pPr>
            <w:r w:rsidRPr="00DA4B74">
              <w:rPr>
                <w:b/>
                <w:bCs/>
                <w:sz w:val="24"/>
                <w:szCs w:val="28"/>
              </w:rPr>
              <w:t>demonstrate compliance with the Municipal Finance Management Act; and</w:t>
            </w:r>
            <w:r w:rsidR="00EC5D6A" w:rsidRPr="00DA4B74">
              <w:rPr>
                <w:b/>
                <w:bCs/>
                <w:sz w:val="24"/>
                <w:szCs w:val="28"/>
              </w:rPr>
              <w:t xml:space="preserve"> </w:t>
            </w:r>
          </w:p>
          <w:p w:rsidR="00EC5D6A" w:rsidRPr="00DA4B74" w:rsidRDefault="00E34128" w:rsidP="00DA4B74">
            <w:pPr>
              <w:pStyle w:val="BulletParagraphs"/>
              <w:jc w:val="both"/>
              <w:rPr>
                <w:bCs/>
                <w:sz w:val="24"/>
                <w:szCs w:val="28"/>
              </w:rPr>
            </w:pPr>
            <w:proofErr w:type="gramStart"/>
            <w:r w:rsidRPr="00DA4B74">
              <w:rPr>
                <w:b/>
                <w:bCs/>
                <w:sz w:val="24"/>
                <w:szCs w:val="28"/>
              </w:rPr>
              <w:t>plan</w:t>
            </w:r>
            <w:proofErr w:type="gramEnd"/>
            <w:r w:rsidRPr="00DA4B74">
              <w:rPr>
                <w:b/>
                <w:bCs/>
                <w:sz w:val="24"/>
                <w:szCs w:val="28"/>
              </w:rPr>
              <w:t xml:space="preserve"> and manage external loans so that sufficient cash is generated to repay external loans</w:t>
            </w:r>
            <w:r w:rsidR="00EC5D6A" w:rsidRPr="00DA4B74">
              <w:rPr>
                <w:b/>
                <w:bCs/>
                <w:sz w:val="24"/>
                <w:szCs w:val="28"/>
              </w:rPr>
              <w:t xml:space="preserve"> </w:t>
            </w:r>
            <w:r w:rsidRPr="00DA4B74">
              <w:rPr>
                <w:b/>
                <w:bCs/>
                <w:sz w:val="24"/>
                <w:szCs w:val="28"/>
              </w:rPr>
              <w:t>on the redemption date.</w:t>
            </w:r>
            <w:r w:rsidR="00EC5D6A" w:rsidRPr="00DA4B74">
              <w:rPr>
                <w:b/>
                <w:bCs/>
                <w:sz w:val="24"/>
                <w:szCs w:val="28"/>
              </w:rPr>
              <w:t xml:space="preserve">  </w:t>
            </w:r>
          </w:p>
          <w:p w:rsidR="00EC5D6A" w:rsidRPr="00DA4B74" w:rsidRDefault="00E34128" w:rsidP="00DA4B74">
            <w:pPr>
              <w:spacing w:before="120" w:after="120" w:line="240" w:lineRule="auto"/>
              <w:jc w:val="both"/>
              <w:rPr>
                <w:bCs/>
                <w:sz w:val="24"/>
                <w:szCs w:val="28"/>
              </w:rPr>
            </w:pPr>
            <w:r w:rsidRPr="00DA4B74">
              <w:rPr>
                <w:b/>
                <w:bCs/>
                <w:sz w:val="24"/>
                <w:szCs w:val="28"/>
              </w:rPr>
              <w:t>The principles of government grant and public contribution funded items of property, plant and</w:t>
            </w:r>
            <w:r w:rsidR="00EC5D6A" w:rsidRPr="00DA4B74">
              <w:rPr>
                <w:b/>
                <w:bCs/>
                <w:sz w:val="24"/>
                <w:szCs w:val="28"/>
              </w:rPr>
              <w:t xml:space="preserve"> e</w:t>
            </w:r>
            <w:r w:rsidRPr="00DA4B74">
              <w:rPr>
                <w:b/>
                <w:bCs/>
                <w:sz w:val="24"/>
                <w:szCs w:val="28"/>
              </w:rPr>
              <w:t xml:space="preserve">quipment is that there should be no capital cost included in tariffs </w:t>
            </w:r>
            <w:r w:rsidR="00003167" w:rsidRPr="00DA4B74">
              <w:rPr>
                <w:b/>
                <w:bCs/>
                <w:sz w:val="24"/>
                <w:szCs w:val="28"/>
              </w:rPr>
              <w:t xml:space="preserve">by </w:t>
            </w:r>
            <w:r w:rsidRPr="00DA4B74">
              <w:rPr>
                <w:b/>
                <w:bCs/>
                <w:sz w:val="24"/>
                <w:szCs w:val="28"/>
              </w:rPr>
              <w:t>using this source of</w:t>
            </w:r>
            <w:r w:rsidR="00EC5D6A" w:rsidRPr="00DA4B74">
              <w:rPr>
                <w:b/>
                <w:bCs/>
                <w:sz w:val="24"/>
                <w:szCs w:val="28"/>
              </w:rPr>
              <w:t xml:space="preserve"> </w:t>
            </w:r>
            <w:r w:rsidRPr="00DA4B74">
              <w:rPr>
                <w:b/>
                <w:bCs/>
                <w:sz w:val="24"/>
                <w:szCs w:val="28"/>
              </w:rPr>
              <w:t xml:space="preserve">financing. </w:t>
            </w:r>
            <w:r w:rsidR="00EC5D6A" w:rsidRPr="00DA4B74">
              <w:rPr>
                <w:b/>
                <w:bCs/>
                <w:sz w:val="24"/>
                <w:szCs w:val="28"/>
              </w:rPr>
              <w:t xml:space="preserve"> </w:t>
            </w:r>
            <w:r w:rsidRPr="00DA4B74">
              <w:rPr>
                <w:b/>
                <w:bCs/>
                <w:sz w:val="24"/>
                <w:szCs w:val="28"/>
              </w:rPr>
              <w:t>The grant or contribution is used to offset depreciation charges that will emanate</w:t>
            </w:r>
            <w:r w:rsidR="00EC5D6A" w:rsidRPr="00DA4B74">
              <w:rPr>
                <w:b/>
                <w:bCs/>
                <w:sz w:val="24"/>
                <w:szCs w:val="28"/>
              </w:rPr>
              <w:t xml:space="preserve"> </w:t>
            </w:r>
            <w:r w:rsidRPr="00DA4B74">
              <w:rPr>
                <w:b/>
                <w:bCs/>
                <w:sz w:val="24"/>
                <w:szCs w:val="28"/>
              </w:rPr>
              <w:t>from the relevant item of property, plant and equipment being brought into use through the</w:t>
            </w:r>
            <w:r w:rsidR="00EC5D6A" w:rsidRPr="00DA4B74">
              <w:rPr>
                <w:b/>
                <w:bCs/>
                <w:sz w:val="24"/>
                <w:szCs w:val="28"/>
              </w:rPr>
              <w:t xml:space="preserve"> </w:t>
            </w:r>
            <w:r w:rsidRPr="00DA4B74">
              <w:rPr>
                <w:b/>
                <w:bCs/>
                <w:sz w:val="24"/>
                <w:szCs w:val="28"/>
              </w:rPr>
              <w:t xml:space="preserve">establishment of a Future Depreciation Reserve. </w:t>
            </w:r>
            <w:r w:rsidR="00EC5D6A" w:rsidRPr="00DA4B74">
              <w:rPr>
                <w:b/>
                <w:bCs/>
                <w:sz w:val="24"/>
                <w:szCs w:val="28"/>
              </w:rPr>
              <w:t xml:space="preserve"> </w:t>
            </w:r>
            <w:r w:rsidRPr="00DA4B74">
              <w:rPr>
                <w:b/>
                <w:bCs/>
                <w:sz w:val="24"/>
                <w:szCs w:val="28"/>
              </w:rPr>
              <w:t>There is also a need to comply with GAMAP</w:t>
            </w:r>
            <w:r w:rsidR="00EC5D6A" w:rsidRPr="00DA4B74">
              <w:rPr>
                <w:b/>
                <w:bCs/>
                <w:sz w:val="24"/>
                <w:szCs w:val="28"/>
              </w:rPr>
              <w:t xml:space="preserve"> </w:t>
            </w:r>
            <w:r w:rsidRPr="00DA4B74">
              <w:rPr>
                <w:b/>
                <w:bCs/>
                <w:sz w:val="24"/>
                <w:szCs w:val="28"/>
              </w:rPr>
              <w:t>9, which requires that the value of government grant funded property, plant and equipment be</w:t>
            </w:r>
            <w:r w:rsidR="00EC5D6A" w:rsidRPr="00DA4B74">
              <w:rPr>
                <w:b/>
                <w:bCs/>
                <w:sz w:val="24"/>
                <w:szCs w:val="28"/>
              </w:rPr>
              <w:t xml:space="preserve"> </w:t>
            </w:r>
            <w:r w:rsidRPr="00DA4B74">
              <w:rPr>
                <w:b/>
                <w:bCs/>
                <w:sz w:val="24"/>
                <w:szCs w:val="28"/>
              </w:rPr>
              <w:t>recognised in the Statement of Financial Performance as revenue when the conditions of the</w:t>
            </w:r>
            <w:r w:rsidR="00EC5D6A" w:rsidRPr="00DA4B74">
              <w:rPr>
                <w:b/>
                <w:bCs/>
                <w:sz w:val="24"/>
                <w:szCs w:val="28"/>
              </w:rPr>
              <w:t xml:space="preserve"> </w:t>
            </w:r>
            <w:r w:rsidRPr="00DA4B74">
              <w:rPr>
                <w:b/>
                <w:bCs/>
                <w:sz w:val="24"/>
                <w:szCs w:val="28"/>
              </w:rPr>
              <w:t>grant have been met.</w:t>
            </w:r>
            <w:r w:rsidR="00EC5D6A" w:rsidRPr="00DA4B74">
              <w:rPr>
                <w:b/>
                <w:bCs/>
                <w:sz w:val="24"/>
                <w:szCs w:val="28"/>
              </w:rPr>
              <w:t xml:space="preserve">  </w:t>
            </w:r>
          </w:p>
          <w:p w:rsidR="00EC5D6A" w:rsidRPr="00DA4B74" w:rsidRDefault="00E34128" w:rsidP="00DA4B74">
            <w:pPr>
              <w:spacing w:before="120" w:after="120" w:line="240" w:lineRule="auto"/>
              <w:jc w:val="both"/>
              <w:rPr>
                <w:bCs/>
                <w:sz w:val="24"/>
                <w:szCs w:val="28"/>
              </w:rPr>
            </w:pPr>
            <w:r w:rsidRPr="00DA4B74">
              <w:rPr>
                <w:b/>
                <w:bCs/>
                <w:sz w:val="24"/>
                <w:szCs w:val="28"/>
              </w:rPr>
              <w:t>Until the conditions of the grant have been met, a liability is recognised that is equal to the value</w:t>
            </w:r>
            <w:r w:rsidR="00EC5D6A" w:rsidRPr="00DA4B74">
              <w:rPr>
                <w:b/>
                <w:bCs/>
                <w:sz w:val="24"/>
                <w:szCs w:val="28"/>
              </w:rPr>
              <w:t xml:space="preserve"> </w:t>
            </w:r>
            <w:r w:rsidRPr="00DA4B74">
              <w:rPr>
                <w:b/>
                <w:bCs/>
                <w:sz w:val="24"/>
                <w:szCs w:val="28"/>
              </w:rPr>
              <w:t xml:space="preserve">of the grant or conditions with which there must still be compliance. </w:t>
            </w:r>
            <w:r w:rsidR="00EC5D6A" w:rsidRPr="00DA4B74">
              <w:rPr>
                <w:b/>
                <w:bCs/>
                <w:sz w:val="24"/>
                <w:szCs w:val="28"/>
              </w:rPr>
              <w:t xml:space="preserve"> </w:t>
            </w:r>
            <w:r w:rsidRPr="00DA4B74">
              <w:rPr>
                <w:b/>
                <w:bCs/>
                <w:sz w:val="24"/>
                <w:szCs w:val="28"/>
              </w:rPr>
              <w:t>Thereafter, a transfer is</w:t>
            </w:r>
            <w:r w:rsidR="00EC5D6A" w:rsidRPr="00DA4B74">
              <w:rPr>
                <w:b/>
                <w:bCs/>
                <w:sz w:val="24"/>
                <w:szCs w:val="28"/>
              </w:rPr>
              <w:t xml:space="preserve"> </w:t>
            </w:r>
            <w:r w:rsidRPr="00DA4B74">
              <w:rPr>
                <w:b/>
                <w:bCs/>
                <w:sz w:val="24"/>
                <w:szCs w:val="28"/>
              </w:rPr>
              <w:t xml:space="preserve">made to revenue when the conditions have been met. </w:t>
            </w:r>
            <w:r w:rsidR="00EC5D6A" w:rsidRPr="00DA4B74">
              <w:rPr>
                <w:b/>
                <w:bCs/>
                <w:sz w:val="24"/>
                <w:szCs w:val="28"/>
              </w:rPr>
              <w:t xml:space="preserve"> </w:t>
            </w:r>
            <w:r w:rsidRPr="00DA4B74">
              <w:rPr>
                <w:b/>
                <w:bCs/>
                <w:sz w:val="24"/>
                <w:szCs w:val="28"/>
              </w:rPr>
              <w:t>An amount equal to the grant is</w:t>
            </w:r>
            <w:r w:rsidR="00EC5D6A" w:rsidRPr="00DA4B74">
              <w:rPr>
                <w:b/>
                <w:bCs/>
                <w:sz w:val="24"/>
                <w:szCs w:val="28"/>
              </w:rPr>
              <w:t xml:space="preserve"> </w:t>
            </w:r>
            <w:r w:rsidRPr="00DA4B74">
              <w:rPr>
                <w:b/>
                <w:bCs/>
                <w:sz w:val="24"/>
                <w:szCs w:val="28"/>
              </w:rPr>
              <w:t>appropriated to a Future Depreciation Reserve through the Statement of Changes in Community</w:t>
            </w:r>
            <w:r w:rsidR="00EC5D6A" w:rsidRPr="00DA4B74">
              <w:rPr>
                <w:b/>
                <w:bCs/>
                <w:sz w:val="24"/>
                <w:szCs w:val="28"/>
              </w:rPr>
              <w:t xml:space="preserve"> </w:t>
            </w:r>
            <w:r w:rsidRPr="00DA4B74">
              <w:rPr>
                <w:b/>
                <w:bCs/>
                <w:sz w:val="24"/>
                <w:szCs w:val="28"/>
              </w:rPr>
              <w:t xml:space="preserve">Wealth. </w:t>
            </w:r>
            <w:r w:rsidR="00EC5D6A" w:rsidRPr="00DA4B74">
              <w:rPr>
                <w:b/>
                <w:bCs/>
                <w:sz w:val="24"/>
                <w:szCs w:val="28"/>
              </w:rPr>
              <w:t xml:space="preserve"> </w:t>
            </w:r>
            <w:r w:rsidRPr="00DA4B74">
              <w:rPr>
                <w:b/>
                <w:bCs/>
                <w:sz w:val="24"/>
                <w:szCs w:val="28"/>
              </w:rPr>
              <w:t>Thereafter, the Future Depreciation Reserve is used to offset the annual depreciation</w:t>
            </w:r>
            <w:r w:rsidR="00EC5D6A" w:rsidRPr="00DA4B74">
              <w:rPr>
                <w:b/>
                <w:bCs/>
                <w:sz w:val="24"/>
                <w:szCs w:val="28"/>
              </w:rPr>
              <w:t xml:space="preserve"> </w:t>
            </w:r>
            <w:r w:rsidRPr="00DA4B74">
              <w:rPr>
                <w:b/>
                <w:bCs/>
                <w:sz w:val="24"/>
                <w:szCs w:val="28"/>
              </w:rPr>
              <w:t>charge, again using the Statement of Changes in Community Wealth.</w:t>
            </w:r>
            <w:r w:rsidR="00EC5D6A" w:rsidRPr="00DA4B74">
              <w:rPr>
                <w:b/>
                <w:bCs/>
                <w:sz w:val="24"/>
                <w:szCs w:val="28"/>
              </w:rPr>
              <w:t xml:space="preserve">  </w:t>
            </w:r>
          </w:p>
          <w:p w:rsidR="00EC5D6A" w:rsidRPr="00DA4B74" w:rsidRDefault="00E34128" w:rsidP="00DA4B74">
            <w:pPr>
              <w:spacing w:before="120" w:after="120" w:line="240" w:lineRule="auto"/>
              <w:jc w:val="both"/>
              <w:rPr>
                <w:bCs/>
                <w:sz w:val="24"/>
                <w:szCs w:val="28"/>
              </w:rPr>
            </w:pPr>
            <w:r w:rsidRPr="00DA4B74">
              <w:rPr>
                <w:b/>
                <w:bCs/>
                <w:sz w:val="24"/>
                <w:szCs w:val="28"/>
              </w:rPr>
              <w:t>If the item of property, plant or equipment is disposed of prior to being fully depreciated, the</w:t>
            </w:r>
            <w:r w:rsidR="00EC5D6A" w:rsidRPr="00DA4B74">
              <w:rPr>
                <w:b/>
                <w:bCs/>
                <w:sz w:val="24"/>
                <w:szCs w:val="28"/>
              </w:rPr>
              <w:t xml:space="preserve"> </w:t>
            </w:r>
            <w:r w:rsidRPr="00DA4B74">
              <w:rPr>
                <w:b/>
                <w:bCs/>
                <w:sz w:val="24"/>
                <w:szCs w:val="28"/>
              </w:rPr>
              <w:t>balance in the Future Depreciation Reserve, which will equal the carrying value of the item of</w:t>
            </w:r>
            <w:r w:rsidR="00EC5D6A" w:rsidRPr="00DA4B74">
              <w:rPr>
                <w:b/>
                <w:bCs/>
                <w:sz w:val="24"/>
                <w:szCs w:val="28"/>
              </w:rPr>
              <w:t xml:space="preserve"> </w:t>
            </w:r>
            <w:r w:rsidRPr="00DA4B74">
              <w:rPr>
                <w:b/>
                <w:bCs/>
                <w:sz w:val="24"/>
                <w:szCs w:val="28"/>
              </w:rPr>
              <w:t>property, plant or equipment disposed of, will be transferred to unappropriated surpluses</w:t>
            </w:r>
            <w:r w:rsidR="00EC5D6A" w:rsidRPr="00DA4B74">
              <w:rPr>
                <w:b/>
                <w:bCs/>
                <w:sz w:val="24"/>
                <w:szCs w:val="28"/>
              </w:rPr>
              <w:t xml:space="preserve"> </w:t>
            </w:r>
            <w:r w:rsidRPr="00DA4B74">
              <w:rPr>
                <w:b/>
                <w:bCs/>
                <w:sz w:val="24"/>
                <w:szCs w:val="28"/>
              </w:rPr>
              <w:t>through the Statement of Changes in Community Wealth.</w:t>
            </w:r>
          </w:p>
          <w:p w:rsidR="00EC5D6A" w:rsidRPr="00DA4B74" w:rsidRDefault="00E34128" w:rsidP="00DA4B74">
            <w:pPr>
              <w:spacing w:before="120" w:after="120" w:line="240" w:lineRule="auto"/>
              <w:jc w:val="both"/>
              <w:rPr>
                <w:bCs/>
                <w:sz w:val="24"/>
                <w:szCs w:val="28"/>
              </w:rPr>
            </w:pPr>
            <w:r w:rsidRPr="00DA4B74">
              <w:rPr>
                <w:b/>
                <w:bCs/>
                <w:sz w:val="24"/>
                <w:szCs w:val="28"/>
              </w:rPr>
              <w:t>The principle of using the Asset Financing Reserve is that there is a recognition that</w:t>
            </w:r>
            <w:r w:rsidR="00EC5D6A" w:rsidRPr="00DA4B74">
              <w:rPr>
                <w:b/>
                <w:bCs/>
                <w:sz w:val="24"/>
                <w:szCs w:val="28"/>
              </w:rPr>
              <w:t xml:space="preserve"> </w:t>
            </w:r>
            <w:r w:rsidRPr="00DA4B74">
              <w:rPr>
                <w:b/>
                <w:bCs/>
                <w:sz w:val="24"/>
                <w:szCs w:val="28"/>
              </w:rPr>
              <w:t>municipalities may have to set aside cash for the future acquisition of items of property, plant</w:t>
            </w:r>
            <w:r w:rsidR="00EC5D6A" w:rsidRPr="00DA4B74">
              <w:rPr>
                <w:b/>
                <w:bCs/>
                <w:sz w:val="24"/>
                <w:szCs w:val="28"/>
              </w:rPr>
              <w:t xml:space="preserve"> </w:t>
            </w:r>
            <w:r w:rsidRPr="00DA4B74">
              <w:rPr>
                <w:b/>
                <w:bCs/>
                <w:sz w:val="24"/>
                <w:szCs w:val="28"/>
              </w:rPr>
              <w:t xml:space="preserve">and equipment and that double taxation risks exist. </w:t>
            </w:r>
            <w:r w:rsidR="00EC5D6A" w:rsidRPr="00DA4B74">
              <w:rPr>
                <w:b/>
                <w:bCs/>
                <w:sz w:val="24"/>
                <w:szCs w:val="28"/>
              </w:rPr>
              <w:t xml:space="preserve"> </w:t>
            </w:r>
            <w:r w:rsidRPr="00DA4B74">
              <w:rPr>
                <w:b/>
                <w:bCs/>
                <w:sz w:val="24"/>
                <w:szCs w:val="28"/>
              </w:rPr>
              <w:t>The Asset Financing Reserve is a</w:t>
            </w:r>
            <w:r w:rsidR="00EC5D6A" w:rsidRPr="00DA4B74">
              <w:rPr>
                <w:b/>
                <w:bCs/>
                <w:sz w:val="24"/>
                <w:szCs w:val="28"/>
              </w:rPr>
              <w:t xml:space="preserve"> </w:t>
            </w:r>
            <w:r w:rsidRPr="00DA4B74">
              <w:rPr>
                <w:b/>
                <w:bCs/>
                <w:sz w:val="24"/>
                <w:szCs w:val="28"/>
              </w:rPr>
              <w:t>mechanism to be used in this regard</w:t>
            </w:r>
            <w:r w:rsidR="0096741D" w:rsidRPr="00DA4B74">
              <w:rPr>
                <w:b/>
                <w:bCs/>
                <w:sz w:val="24"/>
                <w:szCs w:val="28"/>
              </w:rPr>
              <w:t>, to mitigate</w:t>
            </w:r>
            <w:r w:rsidRPr="00DA4B74">
              <w:rPr>
                <w:b/>
                <w:bCs/>
                <w:sz w:val="24"/>
                <w:szCs w:val="28"/>
              </w:rPr>
              <w:t xml:space="preserve"> the risk of double taxation.</w:t>
            </w:r>
            <w:r w:rsidR="00EC5D6A" w:rsidRPr="00DA4B74">
              <w:rPr>
                <w:b/>
                <w:bCs/>
                <w:sz w:val="24"/>
                <w:szCs w:val="28"/>
              </w:rPr>
              <w:t xml:space="preserve"> </w:t>
            </w:r>
            <w:r w:rsidRPr="00DA4B74">
              <w:rPr>
                <w:b/>
                <w:bCs/>
                <w:sz w:val="24"/>
                <w:szCs w:val="28"/>
              </w:rPr>
              <w:t xml:space="preserve"> In addition, </w:t>
            </w:r>
            <w:r w:rsidR="00003167" w:rsidRPr="00DA4B74">
              <w:rPr>
                <w:b/>
                <w:bCs/>
                <w:sz w:val="24"/>
                <w:szCs w:val="28"/>
              </w:rPr>
              <w:t>up</w:t>
            </w:r>
            <w:r w:rsidRPr="00DA4B74">
              <w:rPr>
                <w:b/>
                <w:bCs/>
                <w:sz w:val="24"/>
                <w:szCs w:val="28"/>
              </w:rPr>
              <w:t>on</w:t>
            </w:r>
            <w:r w:rsidR="00EC5D6A" w:rsidRPr="00DA4B74">
              <w:rPr>
                <w:b/>
                <w:bCs/>
                <w:sz w:val="24"/>
                <w:szCs w:val="28"/>
              </w:rPr>
              <w:t xml:space="preserve"> </w:t>
            </w:r>
            <w:r w:rsidRPr="00DA4B74">
              <w:rPr>
                <w:b/>
                <w:bCs/>
                <w:sz w:val="24"/>
                <w:szCs w:val="28"/>
              </w:rPr>
              <w:t xml:space="preserve">implementation of GAMAP, most municipalities will have existing funds. </w:t>
            </w:r>
            <w:r w:rsidR="00EC5D6A" w:rsidRPr="00DA4B74">
              <w:rPr>
                <w:b/>
                <w:bCs/>
                <w:sz w:val="24"/>
                <w:szCs w:val="28"/>
              </w:rPr>
              <w:t xml:space="preserve"> </w:t>
            </w:r>
            <w:r w:rsidRPr="00DA4B74">
              <w:rPr>
                <w:b/>
                <w:bCs/>
                <w:sz w:val="24"/>
                <w:szCs w:val="28"/>
              </w:rPr>
              <w:t>As explained later in</w:t>
            </w:r>
            <w:r w:rsidR="00EC5D6A" w:rsidRPr="00DA4B74">
              <w:rPr>
                <w:b/>
                <w:bCs/>
                <w:sz w:val="24"/>
                <w:szCs w:val="28"/>
              </w:rPr>
              <w:t xml:space="preserve"> </w:t>
            </w:r>
            <w:r w:rsidRPr="00DA4B74">
              <w:rPr>
                <w:b/>
                <w:bCs/>
                <w:sz w:val="24"/>
                <w:szCs w:val="28"/>
              </w:rPr>
              <w:t>these guidelines, these existing funds will be consolidated into the Asset Financing Reserve.</w:t>
            </w:r>
            <w:r w:rsidR="00EC5D6A" w:rsidRPr="00DA4B74">
              <w:rPr>
                <w:b/>
                <w:bCs/>
                <w:sz w:val="24"/>
                <w:szCs w:val="28"/>
              </w:rPr>
              <w:t xml:space="preserve">  </w:t>
            </w:r>
          </w:p>
          <w:p w:rsidR="00EC5D6A" w:rsidRPr="00DA4B74" w:rsidRDefault="00E34128" w:rsidP="00DA4B74">
            <w:pPr>
              <w:spacing w:before="120" w:after="120" w:line="240" w:lineRule="auto"/>
              <w:jc w:val="both"/>
              <w:rPr>
                <w:bCs/>
                <w:sz w:val="24"/>
                <w:szCs w:val="28"/>
              </w:rPr>
            </w:pPr>
            <w:r w:rsidRPr="00DA4B74">
              <w:rPr>
                <w:b/>
                <w:bCs/>
                <w:sz w:val="24"/>
                <w:szCs w:val="28"/>
              </w:rPr>
              <w:t>To prevent double taxation, when the Asset Financing Reserve is used to finance the acquisition</w:t>
            </w:r>
            <w:r w:rsidR="00EC5D6A" w:rsidRPr="00DA4B74">
              <w:rPr>
                <w:b/>
                <w:bCs/>
                <w:sz w:val="24"/>
                <w:szCs w:val="28"/>
              </w:rPr>
              <w:t xml:space="preserve"> </w:t>
            </w:r>
            <w:r w:rsidRPr="00DA4B74">
              <w:rPr>
                <w:b/>
                <w:bCs/>
                <w:sz w:val="24"/>
                <w:szCs w:val="28"/>
              </w:rPr>
              <w:t xml:space="preserve">of property, plant and equipment, a transfer is made from the </w:t>
            </w:r>
            <w:r w:rsidR="00C67F00" w:rsidRPr="00DA4B74">
              <w:rPr>
                <w:b/>
                <w:bCs/>
                <w:sz w:val="24"/>
                <w:szCs w:val="28"/>
              </w:rPr>
              <w:t xml:space="preserve">Asset Financing Reserve </w:t>
            </w:r>
            <w:r w:rsidR="00B862D0" w:rsidRPr="00DA4B74">
              <w:rPr>
                <w:b/>
                <w:bCs/>
                <w:sz w:val="24"/>
                <w:szCs w:val="28"/>
              </w:rPr>
              <w:t>(AFR)</w:t>
            </w:r>
            <w:r w:rsidRPr="00DA4B74">
              <w:rPr>
                <w:b/>
                <w:bCs/>
                <w:sz w:val="24"/>
                <w:szCs w:val="28"/>
              </w:rPr>
              <w:t xml:space="preserve"> to a Future Depreciation</w:t>
            </w:r>
            <w:r w:rsidR="00EC5D6A" w:rsidRPr="00DA4B74">
              <w:rPr>
                <w:b/>
                <w:bCs/>
                <w:sz w:val="24"/>
                <w:szCs w:val="28"/>
              </w:rPr>
              <w:t xml:space="preserve"> </w:t>
            </w:r>
            <w:r w:rsidRPr="00DA4B74">
              <w:rPr>
                <w:b/>
                <w:bCs/>
                <w:sz w:val="24"/>
                <w:szCs w:val="28"/>
              </w:rPr>
              <w:t xml:space="preserve">Reserve. </w:t>
            </w:r>
            <w:r w:rsidR="00EC5D6A" w:rsidRPr="00DA4B74">
              <w:rPr>
                <w:b/>
                <w:bCs/>
                <w:sz w:val="24"/>
                <w:szCs w:val="28"/>
              </w:rPr>
              <w:t xml:space="preserve"> </w:t>
            </w:r>
            <w:r w:rsidRPr="00DA4B74">
              <w:rPr>
                <w:b/>
                <w:bCs/>
                <w:sz w:val="24"/>
                <w:szCs w:val="28"/>
              </w:rPr>
              <w:t>This Future Depreciation Reserve will be used to offset the depreciation charge of the</w:t>
            </w:r>
            <w:r w:rsidR="00EC5D6A" w:rsidRPr="00DA4B74">
              <w:rPr>
                <w:b/>
                <w:bCs/>
                <w:sz w:val="24"/>
                <w:szCs w:val="28"/>
              </w:rPr>
              <w:t xml:space="preserve"> </w:t>
            </w:r>
            <w:r w:rsidRPr="00DA4B74">
              <w:rPr>
                <w:b/>
                <w:bCs/>
                <w:sz w:val="24"/>
                <w:szCs w:val="28"/>
              </w:rPr>
              <w:t>relevant items of property, plant and equipment.</w:t>
            </w:r>
          </w:p>
          <w:p w:rsidR="00EC5D6A" w:rsidRPr="00DA4B74" w:rsidRDefault="00E34128" w:rsidP="00DA4B74">
            <w:pPr>
              <w:spacing w:before="120" w:after="120" w:line="240" w:lineRule="auto"/>
              <w:jc w:val="both"/>
              <w:rPr>
                <w:bCs/>
                <w:sz w:val="24"/>
                <w:szCs w:val="28"/>
              </w:rPr>
            </w:pPr>
            <w:r w:rsidRPr="00DA4B74">
              <w:rPr>
                <w:b/>
                <w:bCs/>
                <w:sz w:val="24"/>
                <w:szCs w:val="28"/>
              </w:rPr>
              <w:t>The principles of the new capital accounting model are not significantly different from those of</w:t>
            </w:r>
            <w:r w:rsidR="00EC5D6A" w:rsidRPr="00DA4B74">
              <w:rPr>
                <w:b/>
                <w:bCs/>
                <w:sz w:val="24"/>
                <w:szCs w:val="28"/>
              </w:rPr>
              <w:t xml:space="preserve"> </w:t>
            </w:r>
            <w:r w:rsidRPr="00DA4B74">
              <w:rPr>
                <w:b/>
                <w:bCs/>
                <w:sz w:val="24"/>
                <w:szCs w:val="28"/>
              </w:rPr>
              <w:t>the original capital accounting model.</w:t>
            </w:r>
            <w:r w:rsidR="00EC5D6A" w:rsidRPr="00DA4B74">
              <w:rPr>
                <w:b/>
                <w:bCs/>
                <w:sz w:val="24"/>
                <w:szCs w:val="28"/>
              </w:rPr>
              <w:t xml:space="preserve"> </w:t>
            </w:r>
            <w:r w:rsidRPr="00DA4B74">
              <w:rPr>
                <w:b/>
                <w:bCs/>
                <w:sz w:val="24"/>
                <w:szCs w:val="28"/>
              </w:rPr>
              <w:t xml:space="preserve"> There has been significant capacitation on the old capital</w:t>
            </w:r>
            <w:r w:rsidR="00EC5D6A" w:rsidRPr="00DA4B74">
              <w:rPr>
                <w:b/>
                <w:bCs/>
                <w:sz w:val="24"/>
                <w:szCs w:val="28"/>
              </w:rPr>
              <w:t xml:space="preserve"> </w:t>
            </w:r>
            <w:r w:rsidRPr="00DA4B74">
              <w:rPr>
                <w:b/>
                <w:bCs/>
                <w:sz w:val="24"/>
                <w:szCs w:val="28"/>
              </w:rPr>
              <w:t>accounting model and a publication and other documentation can be obtained from the National</w:t>
            </w:r>
            <w:r w:rsidR="00EC5D6A" w:rsidRPr="00DA4B74">
              <w:rPr>
                <w:b/>
                <w:bCs/>
                <w:sz w:val="24"/>
                <w:szCs w:val="28"/>
              </w:rPr>
              <w:t xml:space="preserve"> </w:t>
            </w:r>
            <w:r w:rsidRPr="00DA4B74">
              <w:rPr>
                <w:b/>
                <w:bCs/>
                <w:sz w:val="24"/>
                <w:szCs w:val="28"/>
              </w:rPr>
              <w:t xml:space="preserve">Treasury. </w:t>
            </w:r>
            <w:r w:rsidR="00EC5D6A" w:rsidRPr="00DA4B74">
              <w:rPr>
                <w:b/>
                <w:bCs/>
                <w:sz w:val="24"/>
                <w:szCs w:val="28"/>
              </w:rPr>
              <w:t xml:space="preserve"> </w:t>
            </w:r>
            <w:r w:rsidRPr="00DA4B74">
              <w:rPr>
                <w:b/>
                <w:bCs/>
                <w:sz w:val="24"/>
                <w:szCs w:val="28"/>
              </w:rPr>
              <w:t>These documents will provide practitioners with more detailed information on the old</w:t>
            </w:r>
            <w:r w:rsidR="00EC5D6A" w:rsidRPr="00DA4B74">
              <w:rPr>
                <w:b/>
                <w:bCs/>
                <w:sz w:val="24"/>
                <w:szCs w:val="28"/>
              </w:rPr>
              <w:t xml:space="preserve"> </w:t>
            </w:r>
            <w:r w:rsidRPr="00DA4B74">
              <w:rPr>
                <w:b/>
                <w:bCs/>
                <w:sz w:val="24"/>
                <w:szCs w:val="28"/>
              </w:rPr>
              <w:t>standards and provide a sound basis to understanding the new standards capital accounting</w:t>
            </w:r>
            <w:r w:rsidR="00EC5D6A" w:rsidRPr="00DA4B74">
              <w:rPr>
                <w:b/>
                <w:bCs/>
                <w:sz w:val="24"/>
                <w:szCs w:val="28"/>
              </w:rPr>
              <w:t xml:space="preserve"> </w:t>
            </w:r>
            <w:r w:rsidRPr="00DA4B74">
              <w:rPr>
                <w:b/>
                <w:bCs/>
                <w:sz w:val="24"/>
                <w:szCs w:val="28"/>
              </w:rPr>
              <w:t xml:space="preserve">model </w:t>
            </w:r>
            <w:r w:rsidR="00BB5CDC" w:rsidRPr="00DA4B74">
              <w:rPr>
                <w:b/>
                <w:bCs/>
                <w:sz w:val="24"/>
                <w:szCs w:val="28"/>
              </w:rPr>
              <w:t xml:space="preserve">as </w:t>
            </w:r>
            <w:r w:rsidRPr="00DA4B74">
              <w:rPr>
                <w:b/>
                <w:bCs/>
                <w:sz w:val="24"/>
                <w:szCs w:val="28"/>
              </w:rPr>
              <w:t>explained</w:t>
            </w:r>
            <w:r w:rsidR="00EC5D6A" w:rsidRPr="00DA4B74">
              <w:rPr>
                <w:b/>
                <w:bCs/>
                <w:sz w:val="24"/>
                <w:szCs w:val="28"/>
              </w:rPr>
              <w:t>.</w:t>
            </w:r>
          </w:p>
          <w:p w:rsidR="00531E35" w:rsidRPr="00DA4B74" w:rsidRDefault="00E34128" w:rsidP="00DA4B74">
            <w:pPr>
              <w:spacing w:before="120" w:after="120" w:line="240" w:lineRule="auto"/>
              <w:jc w:val="both"/>
              <w:rPr>
                <w:bCs/>
                <w:sz w:val="24"/>
                <w:szCs w:val="28"/>
              </w:rPr>
            </w:pPr>
            <w:r w:rsidRPr="00DA4B74">
              <w:rPr>
                <w:b/>
                <w:bCs/>
                <w:sz w:val="24"/>
                <w:szCs w:val="28"/>
              </w:rPr>
              <w:t xml:space="preserve">Municipalities have to ensure that all external loans will be repaid on the redemption date. </w:t>
            </w:r>
            <w:r w:rsidR="00531E35" w:rsidRPr="00DA4B74">
              <w:rPr>
                <w:b/>
                <w:bCs/>
                <w:sz w:val="24"/>
                <w:szCs w:val="28"/>
              </w:rPr>
              <w:t xml:space="preserve"> </w:t>
            </w:r>
            <w:r w:rsidRPr="00DA4B74">
              <w:rPr>
                <w:b/>
                <w:bCs/>
                <w:sz w:val="24"/>
                <w:szCs w:val="28"/>
              </w:rPr>
              <w:t>As a</w:t>
            </w:r>
            <w:r w:rsidR="00531E35" w:rsidRPr="00DA4B74">
              <w:rPr>
                <w:b/>
                <w:bCs/>
                <w:sz w:val="24"/>
                <w:szCs w:val="28"/>
              </w:rPr>
              <w:t xml:space="preserve"> </w:t>
            </w:r>
            <w:r w:rsidRPr="00DA4B74">
              <w:rPr>
                <w:b/>
                <w:bCs/>
                <w:sz w:val="24"/>
                <w:szCs w:val="28"/>
              </w:rPr>
              <w:t>result, cash flow will have to be managed to ensure that sufficient cash is accumulated for this</w:t>
            </w:r>
            <w:r w:rsidR="00531E35" w:rsidRPr="00DA4B74">
              <w:rPr>
                <w:b/>
                <w:bCs/>
                <w:sz w:val="24"/>
                <w:szCs w:val="28"/>
              </w:rPr>
              <w:t xml:space="preserve"> </w:t>
            </w:r>
            <w:r w:rsidRPr="00DA4B74">
              <w:rPr>
                <w:b/>
                <w:bCs/>
                <w:sz w:val="24"/>
                <w:szCs w:val="28"/>
              </w:rPr>
              <w:t xml:space="preserve">purpose. </w:t>
            </w:r>
            <w:r w:rsidR="00531E35" w:rsidRPr="00DA4B74">
              <w:rPr>
                <w:b/>
                <w:bCs/>
                <w:sz w:val="24"/>
                <w:szCs w:val="28"/>
              </w:rPr>
              <w:t xml:space="preserve"> </w:t>
            </w:r>
            <w:r w:rsidRPr="00DA4B74">
              <w:rPr>
                <w:b/>
                <w:bCs/>
                <w:sz w:val="24"/>
                <w:szCs w:val="28"/>
              </w:rPr>
              <w:t xml:space="preserve">This will be at the discretion of the municipality. </w:t>
            </w:r>
            <w:r w:rsidR="00531E35" w:rsidRPr="00DA4B74">
              <w:rPr>
                <w:b/>
                <w:bCs/>
                <w:sz w:val="24"/>
                <w:szCs w:val="28"/>
              </w:rPr>
              <w:t xml:space="preserve"> </w:t>
            </w:r>
            <w:r w:rsidRPr="00DA4B74">
              <w:rPr>
                <w:b/>
                <w:bCs/>
                <w:sz w:val="24"/>
                <w:szCs w:val="28"/>
              </w:rPr>
              <w:t>In certain cases, municipalities may</w:t>
            </w:r>
            <w:r w:rsidR="00531E35" w:rsidRPr="00DA4B74">
              <w:rPr>
                <w:b/>
                <w:bCs/>
                <w:sz w:val="24"/>
                <w:szCs w:val="28"/>
              </w:rPr>
              <w:t xml:space="preserve"> o</w:t>
            </w:r>
            <w:r w:rsidRPr="00DA4B74">
              <w:rPr>
                <w:b/>
                <w:bCs/>
                <w:sz w:val="24"/>
                <w:szCs w:val="28"/>
              </w:rPr>
              <w:t xml:space="preserve">pen externally invested sinking funds so that there will be sufficient cash available. </w:t>
            </w:r>
            <w:r w:rsidR="00531E35" w:rsidRPr="00DA4B74">
              <w:rPr>
                <w:b/>
                <w:bCs/>
                <w:sz w:val="24"/>
                <w:szCs w:val="28"/>
              </w:rPr>
              <w:t xml:space="preserve"> </w:t>
            </w:r>
            <w:r w:rsidR="00BB5CDC" w:rsidRPr="00DA4B74">
              <w:rPr>
                <w:b/>
                <w:bCs/>
                <w:sz w:val="24"/>
                <w:szCs w:val="28"/>
              </w:rPr>
              <w:t>In such a scenario t</w:t>
            </w:r>
            <w:r w:rsidRPr="00DA4B74">
              <w:rPr>
                <w:b/>
                <w:bCs/>
                <w:sz w:val="24"/>
                <w:szCs w:val="28"/>
              </w:rPr>
              <w:t>here will</w:t>
            </w:r>
            <w:r w:rsidR="00531E35" w:rsidRPr="00DA4B74">
              <w:rPr>
                <w:b/>
                <w:bCs/>
                <w:sz w:val="24"/>
                <w:szCs w:val="28"/>
              </w:rPr>
              <w:t xml:space="preserve"> </w:t>
            </w:r>
            <w:r w:rsidRPr="00DA4B74">
              <w:rPr>
                <w:b/>
                <w:bCs/>
                <w:sz w:val="24"/>
                <w:szCs w:val="28"/>
              </w:rPr>
              <w:t>therefore not be a need to accumulate monies internally in the E</w:t>
            </w:r>
            <w:r w:rsidR="00C67F00" w:rsidRPr="00DA4B74">
              <w:rPr>
                <w:b/>
                <w:bCs/>
                <w:sz w:val="24"/>
                <w:szCs w:val="28"/>
              </w:rPr>
              <w:t xml:space="preserve">xternal </w:t>
            </w:r>
            <w:r w:rsidRPr="00DA4B74">
              <w:rPr>
                <w:b/>
                <w:bCs/>
                <w:sz w:val="24"/>
                <w:szCs w:val="28"/>
              </w:rPr>
              <w:t>F</w:t>
            </w:r>
            <w:r w:rsidR="00C67F00" w:rsidRPr="00DA4B74">
              <w:rPr>
                <w:b/>
                <w:bCs/>
                <w:sz w:val="24"/>
                <w:szCs w:val="28"/>
              </w:rPr>
              <w:t xml:space="preserve">inancing </w:t>
            </w:r>
            <w:r w:rsidRPr="00DA4B74">
              <w:rPr>
                <w:b/>
                <w:bCs/>
                <w:sz w:val="24"/>
                <w:szCs w:val="28"/>
              </w:rPr>
              <w:t>F</w:t>
            </w:r>
            <w:r w:rsidR="00C67F00" w:rsidRPr="00DA4B74">
              <w:rPr>
                <w:b/>
                <w:bCs/>
                <w:sz w:val="24"/>
                <w:szCs w:val="28"/>
              </w:rPr>
              <w:t>und</w:t>
            </w:r>
            <w:r w:rsidRPr="00DA4B74">
              <w:rPr>
                <w:b/>
                <w:bCs/>
                <w:sz w:val="24"/>
                <w:szCs w:val="28"/>
              </w:rPr>
              <w:t>.</w:t>
            </w:r>
          </w:p>
          <w:p w:rsidR="00531E35" w:rsidRPr="00DA4B74" w:rsidRDefault="00E34128" w:rsidP="00DA4B74">
            <w:pPr>
              <w:spacing w:before="120" w:after="120" w:line="240" w:lineRule="auto"/>
              <w:jc w:val="both"/>
              <w:rPr>
                <w:bCs/>
                <w:sz w:val="24"/>
                <w:szCs w:val="28"/>
              </w:rPr>
            </w:pPr>
            <w:r w:rsidRPr="00DA4B74">
              <w:rPr>
                <w:b/>
                <w:bCs/>
                <w:sz w:val="24"/>
                <w:szCs w:val="28"/>
              </w:rPr>
              <w:t>Municipalities have to ensure that the periods for which external loans are taken out are</w:t>
            </w:r>
            <w:r w:rsidR="00531E35" w:rsidRPr="00DA4B74">
              <w:rPr>
                <w:b/>
                <w:bCs/>
                <w:sz w:val="24"/>
                <w:szCs w:val="28"/>
              </w:rPr>
              <w:t xml:space="preserve"> </w:t>
            </w:r>
            <w:r w:rsidRPr="00DA4B74">
              <w:rPr>
                <w:b/>
                <w:bCs/>
                <w:sz w:val="24"/>
                <w:szCs w:val="28"/>
              </w:rPr>
              <w:t xml:space="preserve">affordable. </w:t>
            </w:r>
            <w:r w:rsidR="00531E35" w:rsidRPr="00DA4B74">
              <w:rPr>
                <w:b/>
                <w:bCs/>
                <w:sz w:val="24"/>
                <w:szCs w:val="28"/>
              </w:rPr>
              <w:t xml:space="preserve"> </w:t>
            </w:r>
            <w:r w:rsidRPr="00DA4B74">
              <w:rPr>
                <w:b/>
                <w:bCs/>
                <w:sz w:val="24"/>
                <w:szCs w:val="28"/>
              </w:rPr>
              <w:t>If the external loan period corresponds with the useful life of the item of property,</w:t>
            </w:r>
            <w:r w:rsidR="00531E35" w:rsidRPr="00DA4B74">
              <w:rPr>
                <w:b/>
                <w:bCs/>
                <w:sz w:val="24"/>
                <w:szCs w:val="28"/>
              </w:rPr>
              <w:t xml:space="preserve"> </w:t>
            </w:r>
            <w:r w:rsidRPr="00DA4B74">
              <w:rPr>
                <w:b/>
                <w:bCs/>
                <w:sz w:val="24"/>
                <w:szCs w:val="28"/>
              </w:rPr>
              <w:t>plant or equipment purchased with the proceeds of such loan, theoretically the depreciation</w:t>
            </w:r>
            <w:r w:rsidR="00531E35" w:rsidRPr="00DA4B74">
              <w:rPr>
                <w:b/>
                <w:bCs/>
                <w:sz w:val="24"/>
                <w:szCs w:val="28"/>
              </w:rPr>
              <w:t xml:space="preserve"> </w:t>
            </w:r>
            <w:r w:rsidRPr="00DA4B74">
              <w:rPr>
                <w:b/>
                <w:bCs/>
                <w:sz w:val="24"/>
                <w:szCs w:val="28"/>
              </w:rPr>
              <w:t xml:space="preserve">charge will assist </w:t>
            </w:r>
            <w:r w:rsidR="00172B5C" w:rsidRPr="00DA4B74">
              <w:rPr>
                <w:b/>
                <w:bCs/>
                <w:sz w:val="24"/>
                <w:szCs w:val="28"/>
              </w:rPr>
              <w:t xml:space="preserve">in </w:t>
            </w:r>
            <w:r w:rsidRPr="00DA4B74">
              <w:rPr>
                <w:b/>
                <w:bCs/>
                <w:sz w:val="24"/>
                <w:szCs w:val="28"/>
              </w:rPr>
              <w:t>generat</w:t>
            </w:r>
            <w:r w:rsidR="00172B5C" w:rsidRPr="00DA4B74">
              <w:rPr>
                <w:b/>
                <w:bCs/>
                <w:sz w:val="24"/>
                <w:szCs w:val="28"/>
              </w:rPr>
              <w:t>ing</w:t>
            </w:r>
            <w:r w:rsidRPr="00DA4B74">
              <w:rPr>
                <w:b/>
                <w:bCs/>
                <w:sz w:val="24"/>
                <w:szCs w:val="28"/>
              </w:rPr>
              <w:t xml:space="preserve"> the necessary cash to repay the loan. </w:t>
            </w:r>
            <w:r w:rsidR="00531E35" w:rsidRPr="00DA4B74">
              <w:rPr>
                <w:b/>
                <w:bCs/>
                <w:sz w:val="24"/>
                <w:szCs w:val="28"/>
              </w:rPr>
              <w:t xml:space="preserve"> </w:t>
            </w:r>
            <w:r w:rsidRPr="00DA4B74">
              <w:rPr>
                <w:b/>
                <w:bCs/>
                <w:sz w:val="24"/>
                <w:szCs w:val="28"/>
              </w:rPr>
              <w:t>However, if the loan period is</w:t>
            </w:r>
            <w:r w:rsidR="00531E35" w:rsidRPr="00DA4B74">
              <w:rPr>
                <w:b/>
                <w:bCs/>
                <w:sz w:val="24"/>
                <w:szCs w:val="28"/>
              </w:rPr>
              <w:t xml:space="preserve"> </w:t>
            </w:r>
            <w:r w:rsidRPr="00DA4B74">
              <w:rPr>
                <w:b/>
                <w:bCs/>
                <w:sz w:val="24"/>
                <w:szCs w:val="28"/>
              </w:rPr>
              <w:t>shorter, then the municipality must have the ability to generate significant additional cash</w:t>
            </w:r>
            <w:r w:rsidR="00531E35" w:rsidRPr="00DA4B74">
              <w:rPr>
                <w:b/>
                <w:bCs/>
                <w:sz w:val="24"/>
                <w:szCs w:val="28"/>
              </w:rPr>
              <w:t xml:space="preserve"> </w:t>
            </w:r>
            <w:r w:rsidRPr="00DA4B74">
              <w:rPr>
                <w:b/>
                <w:bCs/>
                <w:sz w:val="24"/>
                <w:szCs w:val="28"/>
              </w:rPr>
              <w:t>through its revenue-raising mechanisms.</w:t>
            </w:r>
          </w:p>
          <w:p w:rsidR="00531E35" w:rsidRPr="00DA4B74" w:rsidRDefault="00E34128" w:rsidP="00DA4B74">
            <w:pPr>
              <w:spacing w:before="120" w:after="120" w:line="240" w:lineRule="auto"/>
              <w:jc w:val="both"/>
              <w:rPr>
                <w:bCs/>
                <w:sz w:val="24"/>
                <w:szCs w:val="28"/>
              </w:rPr>
            </w:pPr>
            <w:r w:rsidRPr="00DA4B74">
              <w:rPr>
                <w:b/>
                <w:bCs/>
                <w:sz w:val="24"/>
                <w:szCs w:val="28"/>
              </w:rPr>
              <w:t xml:space="preserve">Interest paid has been excluded from these examples. </w:t>
            </w:r>
            <w:r w:rsidR="00531E35" w:rsidRPr="00DA4B74">
              <w:rPr>
                <w:b/>
                <w:bCs/>
                <w:sz w:val="24"/>
                <w:szCs w:val="28"/>
              </w:rPr>
              <w:t xml:space="preserve"> </w:t>
            </w:r>
            <w:r w:rsidRPr="00DA4B74">
              <w:rPr>
                <w:b/>
                <w:bCs/>
                <w:sz w:val="24"/>
                <w:szCs w:val="28"/>
              </w:rPr>
              <w:t xml:space="preserve">Interest paid is an expense and must </w:t>
            </w:r>
            <w:r w:rsidR="00691712" w:rsidRPr="00DA4B74">
              <w:rPr>
                <w:b/>
                <w:bCs/>
                <w:sz w:val="24"/>
                <w:szCs w:val="28"/>
              </w:rPr>
              <w:t xml:space="preserve">accordingly </w:t>
            </w:r>
            <w:r w:rsidRPr="00DA4B74">
              <w:rPr>
                <w:b/>
                <w:bCs/>
                <w:sz w:val="24"/>
                <w:szCs w:val="28"/>
              </w:rPr>
              <w:t>be</w:t>
            </w:r>
            <w:r w:rsidR="00531E35" w:rsidRPr="00DA4B74">
              <w:rPr>
                <w:b/>
                <w:bCs/>
                <w:sz w:val="24"/>
                <w:szCs w:val="28"/>
              </w:rPr>
              <w:t xml:space="preserve"> </w:t>
            </w:r>
            <w:r w:rsidRPr="00DA4B74">
              <w:rPr>
                <w:b/>
                <w:bCs/>
                <w:sz w:val="24"/>
                <w:szCs w:val="28"/>
              </w:rPr>
              <w:t xml:space="preserve">included in the Statement of Financial Performance. </w:t>
            </w:r>
            <w:r w:rsidR="00531E35" w:rsidRPr="00DA4B74">
              <w:rPr>
                <w:b/>
                <w:bCs/>
                <w:sz w:val="24"/>
                <w:szCs w:val="28"/>
              </w:rPr>
              <w:t xml:space="preserve"> </w:t>
            </w:r>
            <w:r w:rsidRPr="00DA4B74">
              <w:rPr>
                <w:b/>
                <w:bCs/>
                <w:sz w:val="24"/>
                <w:szCs w:val="28"/>
              </w:rPr>
              <w:t>The E</w:t>
            </w:r>
            <w:r w:rsidR="00C67F00" w:rsidRPr="00DA4B74">
              <w:rPr>
                <w:b/>
                <w:bCs/>
                <w:sz w:val="24"/>
                <w:szCs w:val="28"/>
              </w:rPr>
              <w:t xml:space="preserve">xternal </w:t>
            </w:r>
            <w:r w:rsidRPr="00DA4B74">
              <w:rPr>
                <w:b/>
                <w:bCs/>
                <w:sz w:val="24"/>
                <w:szCs w:val="28"/>
              </w:rPr>
              <w:t>F</w:t>
            </w:r>
            <w:r w:rsidR="00C67F00" w:rsidRPr="00DA4B74">
              <w:rPr>
                <w:b/>
                <w:bCs/>
                <w:sz w:val="24"/>
                <w:szCs w:val="28"/>
              </w:rPr>
              <w:t xml:space="preserve">inancing </w:t>
            </w:r>
            <w:r w:rsidRPr="00DA4B74">
              <w:rPr>
                <w:b/>
                <w:bCs/>
                <w:sz w:val="24"/>
                <w:szCs w:val="28"/>
              </w:rPr>
              <w:t>F</w:t>
            </w:r>
            <w:r w:rsidR="00C67F00" w:rsidRPr="00DA4B74">
              <w:rPr>
                <w:b/>
                <w:bCs/>
                <w:sz w:val="24"/>
                <w:szCs w:val="28"/>
              </w:rPr>
              <w:t>und</w:t>
            </w:r>
            <w:r w:rsidRPr="00DA4B74">
              <w:rPr>
                <w:b/>
                <w:bCs/>
                <w:sz w:val="24"/>
                <w:szCs w:val="28"/>
              </w:rPr>
              <w:t xml:space="preserve"> does not earn</w:t>
            </w:r>
            <w:r w:rsidR="00531E35" w:rsidRPr="00DA4B74">
              <w:rPr>
                <w:b/>
                <w:bCs/>
                <w:sz w:val="24"/>
                <w:szCs w:val="28"/>
              </w:rPr>
              <w:t xml:space="preserve"> </w:t>
            </w:r>
            <w:r w:rsidRPr="00DA4B74">
              <w:rPr>
                <w:b/>
                <w:bCs/>
                <w:sz w:val="24"/>
                <w:szCs w:val="28"/>
              </w:rPr>
              <w:t xml:space="preserve">external interest received. </w:t>
            </w:r>
            <w:r w:rsidR="00531E35" w:rsidRPr="00DA4B74">
              <w:rPr>
                <w:b/>
                <w:bCs/>
                <w:sz w:val="24"/>
                <w:szCs w:val="28"/>
              </w:rPr>
              <w:t xml:space="preserve"> </w:t>
            </w:r>
            <w:r w:rsidRPr="00DA4B74">
              <w:rPr>
                <w:b/>
                <w:bCs/>
                <w:sz w:val="24"/>
                <w:szCs w:val="28"/>
              </w:rPr>
              <w:t>Any interest receipts on the E</w:t>
            </w:r>
            <w:r w:rsidR="00C67F00" w:rsidRPr="00DA4B74">
              <w:rPr>
                <w:b/>
                <w:bCs/>
                <w:sz w:val="24"/>
                <w:szCs w:val="28"/>
              </w:rPr>
              <w:t xml:space="preserve">xternal </w:t>
            </w:r>
            <w:r w:rsidRPr="00DA4B74">
              <w:rPr>
                <w:b/>
                <w:bCs/>
                <w:sz w:val="24"/>
                <w:szCs w:val="28"/>
              </w:rPr>
              <w:t>F</w:t>
            </w:r>
            <w:r w:rsidR="00C67F00" w:rsidRPr="00DA4B74">
              <w:rPr>
                <w:b/>
                <w:bCs/>
                <w:sz w:val="24"/>
                <w:szCs w:val="28"/>
              </w:rPr>
              <w:t xml:space="preserve">inancing </w:t>
            </w:r>
            <w:r w:rsidRPr="00DA4B74">
              <w:rPr>
                <w:b/>
                <w:bCs/>
                <w:sz w:val="24"/>
                <w:szCs w:val="28"/>
              </w:rPr>
              <w:t>F</w:t>
            </w:r>
            <w:r w:rsidR="00C67F00" w:rsidRPr="00DA4B74">
              <w:rPr>
                <w:b/>
                <w:bCs/>
                <w:sz w:val="24"/>
                <w:szCs w:val="28"/>
              </w:rPr>
              <w:t>und</w:t>
            </w:r>
            <w:r w:rsidRPr="00DA4B74">
              <w:rPr>
                <w:b/>
                <w:bCs/>
                <w:sz w:val="24"/>
                <w:szCs w:val="28"/>
              </w:rPr>
              <w:t xml:space="preserve"> bank/investment accounts must be</w:t>
            </w:r>
            <w:r w:rsidR="00531E35" w:rsidRPr="00DA4B74">
              <w:rPr>
                <w:b/>
                <w:bCs/>
                <w:sz w:val="24"/>
                <w:szCs w:val="28"/>
              </w:rPr>
              <w:t xml:space="preserve"> </w:t>
            </w:r>
            <w:r w:rsidRPr="00DA4B74">
              <w:rPr>
                <w:b/>
                <w:bCs/>
                <w:sz w:val="24"/>
                <w:szCs w:val="28"/>
              </w:rPr>
              <w:t>credited to the Statement of Financial Performance.</w:t>
            </w:r>
            <w:r w:rsidR="00531E35" w:rsidRPr="00DA4B74">
              <w:rPr>
                <w:b/>
                <w:bCs/>
                <w:sz w:val="24"/>
                <w:szCs w:val="28"/>
              </w:rPr>
              <w:t xml:space="preserve">  </w:t>
            </w:r>
          </w:p>
          <w:p w:rsidR="00531E35" w:rsidRPr="00DA4B74" w:rsidRDefault="00E34128" w:rsidP="00DA4B74">
            <w:pPr>
              <w:spacing w:before="120" w:after="120" w:line="240" w:lineRule="auto"/>
              <w:jc w:val="both"/>
              <w:rPr>
                <w:bCs/>
                <w:sz w:val="24"/>
                <w:szCs w:val="28"/>
              </w:rPr>
            </w:pPr>
            <w:r w:rsidRPr="00DA4B74">
              <w:rPr>
                <w:b/>
                <w:bCs/>
                <w:sz w:val="24"/>
                <w:szCs w:val="28"/>
              </w:rPr>
              <w:t>In certain cases, government may require the</w:t>
            </w:r>
            <w:r w:rsidR="00531E35" w:rsidRPr="00DA4B74">
              <w:rPr>
                <w:b/>
                <w:bCs/>
                <w:sz w:val="24"/>
                <w:szCs w:val="28"/>
              </w:rPr>
              <w:t xml:space="preserve"> </w:t>
            </w:r>
            <w:r w:rsidRPr="00DA4B74">
              <w:rPr>
                <w:b/>
                <w:bCs/>
                <w:sz w:val="24"/>
                <w:szCs w:val="28"/>
              </w:rPr>
              <w:t>municipality to incur the cost of purchase, which is then refunded, or alternatively government</w:t>
            </w:r>
            <w:r w:rsidR="00531E35" w:rsidRPr="00DA4B74">
              <w:rPr>
                <w:b/>
                <w:bCs/>
                <w:sz w:val="24"/>
                <w:szCs w:val="28"/>
              </w:rPr>
              <w:t xml:space="preserve"> </w:t>
            </w:r>
            <w:r w:rsidRPr="00DA4B74">
              <w:rPr>
                <w:b/>
                <w:bCs/>
                <w:sz w:val="24"/>
                <w:szCs w:val="28"/>
              </w:rPr>
              <w:t>may donate an item of property, plant or equipment.</w:t>
            </w:r>
            <w:r w:rsidR="00531E35" w:rsidRPr="00DA4B74">
              <w:rPr>
                <w:b/>
                <w:bCs/>
                <w:sz w:val="24"/>
                <w:szCs w:val="28"/>
              </w:rPr>
              <w:t xml:space="preserve"> </w:t>
            </w:r>
            <w:r w:rsidRPr="00DA4B74">
              <w:rPr>
                <w:b/>
                <w:bCs/>
                <w:sz w:val="24"/>
                <w:szCs w:val="28"/>
              </w:rPr>
              <w:t xml:space="preserve"> These different scenarios do not detract</w:t>
            </w:r>
            <w:r w:rsidR="00531E35" w:rsidRPr="00DA4B74">
              <w:rPr>
                <w:b/>
                <w:bCs/>
                <w:sz w:val="24"/>
                <w:szCs w:val="28"/>
              </w:rPr>
              <w:t xml:space="preserve"> </w:t>
            </w:r>
            <w:r w:rsidRPr="00DA4B74">
              <w:rPr>
                <w:b/>
                <w:bCs/>
                <w:sz w:val="24"/>
                <w:szCs w:val="28"/>
              </w:rPr>
              <w:t>from the capital accounting model; ultimately the grant will be recorded as revenue when there</w:t>
            </w:r>
            <w:r w:rsidR="00531E35" w:rsidRPr="00DA4B74">
              <w:rPr>
                <w:b/>
                <w:bCs/>
                <w:sz w:val="24"/>
                <w:szCs w:val="28"/>
              </w:rPr>
              <w:t xml:space="preserve"> </w:t>
            </w:r>
            <w:r w:rsidRPr="00DA4B74">
              <w:rPr>
                <w:b/>
                <w:bCs/>
                <w:sz w:val="24"/>
                <w:szCs w:val="28"/>
              </w:rPr>
              <w:t>has been compliance with the conditions of the grant and a Future Depreciation Reserve will be</w:t>
            </w:r>
            <w:r w:rsidR="00531E35" w:rsidRPr="00DA4B74">
              <w:rPr>
                <w:b/>
                <w:bCs/>
                <w:sz w:val="24"/>
                <w:szCs w:val="28"/>
              </w:rPr>
              <w:t xml:space="preserve"> </w:t>
            </w:r>
            <w:r w:rsidRPr="00DA4B74">
              <w:rPr>
                <w:b/>
                <w:bCs/>
                <w:sz w:val="24"/>
                <w:szCs w:val="28"/>
              </w:rPr>
              <w:t>created, equal to the value of the grant received, from which to offset future depreciation.</w:t>
            </w:r>
            <w:r w:rsidR="00531E35" w:rsidRPr="00DA4B74">
              <w:rPr>
                <w:b/>
                <w:bCs/>
                <w:sz w:val="24"/>
                <w:szCs w:val="28"/>
              </w:rPr>
              <w:t xml:space="preserve">  </w:t>
            </w:r>
          </w:p>
          <w:p w:rsidR="00E34128" w:rsidRPr="00DA4B74" w:rsidRDefault="00E34128" w:rsidP="00DA4B74">
            <w:pPr>
              <w:spacing w:before="120" w:after="120" w:line="240" w:lineRule="auto"/>
              <w:jc w:val="both"/>
              <w:rPr>
                <w:bCs/>
                <w:sz w:val="24"/>
                <w:szCs w:val="28"/>
              </w:rPr>
            </w:pPr>
            <w:r w:rsidRPr="00DA4B74">
              <w:rPr>
                <w:b/>
                <w:bCs/>
                <w:sz w:val="24"/>
                <w:szCs w:val="28"/>
              </w:rPr>
              <w:t>Where an item of property, plant or equipment is donated, either by government or the public,</w:t>
            </w:r>
            <w:r w:rsidR="00531E35" w:rsidRPr="00DA4B74">
              <w:rPr>
                <w:b/>
                <w:bCs/>
                <w:sz w:val="24"/>
                <w:szCs w:val="28"/>
              </w:rPr>
              <w:t xml:space="preserve"> </w:t>
            </w:r>
            <w:r w:rsidRPr="00DA4B74">
              <w:rPr>
                <w:b/>
                <w:bCs/>
                <w:sz w:val="24"/>
                <w:szCs w:val="28"/>
              </w:rPr>
              <w:t xml:space="preserve">then the item is initially recorded at fair value. </w:t>
            </w:r>
            <w:r w:rsidR="00531E35" w:rsidRPr="00DA4B74">
              <w:rPr>
                <w:b/>
                <w:bCs/>
                <w:sz w:val="24"/>
                <w:szCs w:val="28"/>
              </w:rPr>
              <w:t xml:space="preserve"> </w:t>
            </w:r>
            <w:r w:rsidRPr="00DA4B74">
              <w:rPr>
                <w:b/>
                <w:bCs/>
                <w:sz w:val="24"/>
                <w:szCs w:val="28"/>
              </w:rPr>
              <w:t>The corresponding entry will be a credit to</w:t>
            </w:r>
            <w:r w:rsidR="00531E35" w:rsidRPr="00DA4B74">
              <w:rPr>
                <w:b/>
                <w:bCs/>
                <w:sz w:val="24"/>
                <w:szCs w:val="28"/>
              </w:rPr>
              <w:t xml:space="preserve"> </w:t>
            </w:r>
            <w:r w:rsidRPr="00DA4B74">
              <w:rPr>
                <w:b/>
                <w:bCs/>
                <w:sz w:val="24"/>
                <w:szCs w:val="28"/>
              </w:rPr>
              <w:t>revenue.</w:t>
            </w:r>
            <w:r w:rsidR="00531E35" w:rsidRPr="00DA4B74">
              <w:rPr>
                <w:b/>
                <w:bCs/>
                <w:sz w:val="24"/>
                <w:szCs w:val="28"/>
              </w:rPr>
              <w:t xml:space="preserve">  </w:t>
            </w:r>
            <w:r w:rsidRPr="00DA4B74">
              <w:rPr>
                <w:b/>
                <w:bCs/>
                <w:sz w:val="24"/>
                <w:szCs w:val="28"/>
              </w:rPr>
              <w:t>It should be noted that until the conditions of a grant have been met, an obligation must be</w:t>
            </w:r>
            <w:r w:rsidR="00531E35" w:rsidRPr="00DA4B74">
              <w:rPr>
                <w:b/>
                <w:bCs/>
                <w:sz w:val="24"/>
                <w:szCs w:val="28"/>
              </w:rPr>
              <w:t xml:space="preserve"> </w:t>
            </w:r>
            <w:r w:rsidRPr="00DA4B74">
              <w:rPr>
                <w:b/>
                <w:bCs/>
                <w:sz w:val="24"/>
                <w:szCs w:val="28"/>
              </w:rPr>
              <w:t>raised</w:t>
            </w:r>
            <w:r w:rsidR="00531E35" w:rsidRPr="00DA4B74">
              <w:rPr>
                <w:b/>
                <w:bCs/>
                <w:sz w:val="24"/>
                <w:szCs w:val="28"/>
              </w:rPr>
              <w:t xml:space="preserve">. </w:t>
            </w:r>
          </w:p>
          <w:p w:rsidR="00C84F9A" w:rsidRPr="00DA4B74" w:rsidRDefault="00C84F9A" w:rsidP="00DA4B74">
            <w:pPr>
              <w:spacing w:before="120" w:after="120" w:line="240" w:lineRule="auto"/>
              <w:jc w:val="both"/>
              <w:rPr>
                <w:bCs/>
                <w:sz w:val="24"/>
                <w:szCs w:val="28"/>
              </w:rPr>
            </w:pPr>
            <w:r w:rsidRPr="00DA4B74">
              <w:rPr>
                <w:b/>
                <w:bCs/>
                <w:sz w:val="24"/>
                <w:szCs w:val="28"/>
              </w:rPr>
              <w:t xml:space="preserve">The purpose of this financing model is to ensure that there is </w:t>
            </w:r>
            <w:r w:rsidR="00480C8C" w:rsidRPr="00DA4B74">
              <w:rPr>
                <w:b/>
                <w:bCs/>
                <w:sz w:val="24"/>
                <w:szCs w:val="28"/>
              </w:rPr>
              <w:t>no</w:t>
            </w:r>
            <w:r w:rsidRPr="00DA4B74">
              <w:rPr>
                <w:b/>
                <w:bCs/>
                <w:sz w:val="24"/>
                <w:szCs w:val="28"/>
              </w:rPr>
              <w:t xml:space="preserve"> double-taxation. </w:t>
            </w:r>
            <w:r w:rsidR="00531E35" w:rsidRPr="00DA4B74">
              <w:rPr>
                <w:b/>
                <w:bCs/>
                <w:sz w:val="24"/>
                <w:szCs w:val="28"/>
              </w:rPr>
              <w:t xml:space="preserve"> </w:t>
            </w:r>
            <w:r w:rsidRPr="00DA4B74">
              <w:rPr>
                <w:b/>
                <w:bCs/>
                <w:sz w:val="24"/>
                <w:szCs w:val="28"/>
              </w:rPr>
              <w:t>The annual</w:t>
            </w:r>
            <w:r w:rsidR="00531E35" w:rsidRPr="00DA4B74">
              <w:rPr>
                <w:b/>
                <w:bCs/>
                <w:sz w:val="24"/>
                <w:szCs w:val="28"/>
              </w:rPr>
              <w:t xml:space="preserve"> </w:t>
            </w:r>
            <w:r w:rsidRPr="00DA4B74">
              <w:rPr>
                <w:b/>
                <w:bCs/>
                <w:sz w:val="24"/>
                <w:szCs w:val="28"/>
              </w:rPr>
              <w:t xml:space="preserve">depreciation offsets from the Future Depreciation Reserve: </w:t>
            </w:r>
            <w:r w:rsidR="00C67F00" w:rsidRPr="00DA4B74">
              <w:rPr>
                <w:b/>
                <w:bCs/>
                <w:sz w:val="24"/>
                <w:szCs w:val="28"/>
              </w:rPr>
              <w:t>Asset Financing Reserve</w:t>
            </w:r>
            <w:r w:rsidR="00B862D0" w:rsidRPr="00DA4B74">
              <w:rPr>
                <w:b/>
                <w:bCs/>
                <w:sz w:val="24"/>
                <w:szCs w:val="28"/>
              </w:rPr>
              <w:t xml:space="preserve"> (AFR)</w:t>
            </w:r>
            <w:r w:rsidRPr="00DA4B74">
              <w:rPr>
                <w:b/>
                <w:bCs/>
                <w:sz w:val="24"/>
                <w:szCs w:val="28"/>
              </w:rPr>
              <w:t xml:space="preserve"> will achieve this objective.</w:t>
            </w:r>
            <w:r w:rsidR="00531E35" w:rsidRPr="00DA4B74">
              <w:rPr>
                <w:b/>
                <w:bCs/>
                <w:sz w:val="24"/>
                <w:szCs w:val="28"/>
              </w:rPr>
              <w:t xml:space="preserve">  </w:t>
            </w:r>
            <w:r w:rsidRPr="00DA4B74">
              <w:rPr>
                <w:b/>
                <w:bCs/>
                <w:sz w:val="24"/>
                <w:szCs w:val="28"/>
              </w:rPr>
              <w:t xml:space="preserve">The </w:t>
            </w:r>
            <w:r w:rsidR="00C67F00" w:rsidRPr="00DA4B74">
              <w:rPr>
                <w:b/>
                <w:bCs/>
                <w:sz w:val="24"/>
                <w:szCs w:val="28"/>
              </w:rPr>
              <w:t>Asset Financing Reserve</w:t>
            </w:r>
            <w:r w:rsidR="00B862D0" w:rsidRPr="00DA4B74">
              <w:rPr>
                <w:b/>
                <w:bCs/>
                <w:sz w:val="24"/>
                <w:szCs w:val="28"/>
              </w:rPr>
              <w:t xml:space="preserve"> (AFR)</w:t>
            </w:r>
            <w:r w:rsidRPr="00DA4B74">
              <w:rPr>
                <w:b/>
                <w:bCs/>
                <w:sz w:val="24"/>
                <w:szCs w:val="28"/>
              </w:rPr>
              <w:t xml:space="preserve"> does not earn interest. </w:t>
            </w:r>
            <w:r w:rsidR="00531E35" w:rsidRPr="00DA4B74">
              <w:rPr>
                <w:b/>
                <w:bCs/>
                <w:sz w:val="24"/>
                <w:szCs w:val="28"/>
              </w:rPr>
              <w:t xml:space="preserve"> </w:t>
            </w:r>
            <w:r w:rsidRPr="00DA4B74">
              <w:rPr>
                <w:b/>
                <w:bCs/>
                <w:sz w:val="24"/>
                <w:szCs w:val="28"/>
              </w:rPr>
              <w:t>Any interest earned will be credited to revenue and included in</w:t>
            </w:r>
            <w:r w:rsidR="00531E35" w:rsidRPr="00DA4B74">
              <w:rPr>
                <w:b/>
                <w:bCs/>
                <w:sz w:val="24"/>
                <w:szCs w:val="28"/>
              </w:rPr>
              <w:t xml:space="preserve"> </w:t>
            </w:r>
            <w:r w:rsidRPr="00DA4B74">
              <w:rPr>
                <w:b/>
                <w:bCs/>
                <w:sz w:val="24"/>
                <w:szCs w:val="28"/>
              </w:rPr>
              <w:t>the Municipality’s Statement of Financial Performance.</w:t>
            </w:r>
            <w:r w:rsidR="00531E35" w:rsidRPr="00DA4B74">
              <w:rPr>
                <w:b/>
                <w:bCs/>
                <w:sz w:val="24"/>
                <w:szCs w:val="28"/>
              </w:rPr>
              <w:t xml:space="preserve">  </w:t>
            </w:r>
            <w:r w:rsidRPr="00DA4B74">
              <w:rPr>
                <w:b/>
                <w:bCs/>
                <w:sz w:val="24"/>
                <w:szCs w:val="28"/>
              </w:rPr>
              <w:t xml:space="preserve">The </w:t>
            </w:r>
            <w:r w:rsidR="00C67F00" w:rsidRPr="00DA4B74">
              <w:rPr>
                <w:b/>
                <w:bCs/>
                <w:sz w:val="24"/>
                <w:szCs w:val="28"/>
              </w:rPr>
              <w:t>Asset Financing Reserve</w:t>
            </w:r>
            <w:r w:rsidR="00B862D0" w:rsidRPr="00DA4B74">
              <w:rPr>
                <w:b/>
                <w:bCs/>
                <w:sz w:val="24"/>
                <w:szCs w:val="28"/>
              </w:rPr>
              <w:t xml:space="preserve"> (AFR)</w:t>
            </w:r>
            <w:r w:rsidRPr="00DA4B74">
              <w:rPr>
                <w:b/>
                <w:bCs/>
                <w:sz w:val="24"/>
                <w:szCs w:val="28"/>
              </w:rPr>
              <w:t xml:space="preserve"> must always be cash-backed. </w:t>
            </w:r>
            <w:r w:rsidR="00531E35" w:rsidRPr="00DA4B74">
              <w:rPr>
                <w:b/>
                <w:bCs/>
                <w:sz w:val="24"/>
                <w:szCs w:val="28"/>
              </w:rPr>
              <w:t xml:space="preserve"> </w:t>
            </w:r>
            <w:r w:rsidRPr="00DA4B74">
              <w:rPr>
                <w:b/>
                <w:bCs/>
                <w:sz w:val="24"/>
                <w:szCs w:val="28"/>
              </w:rPr>
              <w:t xml:space="preserve">When the cash of the </w:t>
            </w:r>
            <w:r w:rsidR="00C67F00" w:rsidRPr="00DA4B74">
              <w:rPr>
                <w:b/>
                <w:bCs/>
                <w:sz w:val="24"/>
                <w:szCs w:val="28"/>
              </w:rPr>
              <w:t>Asset Financing Reserve</w:t>
            </w:r>
            <w:r w:rsidR="00B862D0" w:rsidRPr="00DA4B74">
              <w:rPr>
                <w:b/>
                <w:bCs/>
                <w:sz w:val="24"/>
                <w:szCs w:val="28"/>
              </w:rPr>
              <w:t xml:space="preserve"> (AFR)</w:t>
            </w:r>
            <w:r w:rsidRPr="00DA4B74">
              <w:rPr>
                <w:b/>
                <w:bCs/>
                <w:sz w:val="24"/>
                <w:szCs w:val="28"/>
              </w:rPr>
              <w:t xml:space="preserve"> is used for other purposes,</w:t>
            </w:r>
            <w:r w:rsidR="00D418CF" w:rsidRPr="00DA4B74">
              <w:rPr>
                <w:b/>
                <w:bCs/>
                <w:sz w:val="24"/>
                <w:szCs w:val="28"/>
              </w:rPr>
              <w:t xml:space="preserve"> </w:t>
            </w:r>
            <w:r w:rsidRPr="00DA4B74">
              <w:rPr>
                <w:b/>
                <w:bCs/>
                <w:sz w:val="24"/>
                <w:szCs w:val="28"/>
              </w:rPr>
              <w:t xml:space="preserve">then the </w:t>
            </w:r>
            <w:r w:rsidR="00C67F00" w:rsidRPr="00DA4B74">
              <w:rPr>
                <w:b/>
                <w:bCs/>
                <w:sz w:val="24"/>
                <w:szCs w:val="28"/>
              </w:rPr>
              <w:t>Asset Financing Reserve</w:t>
            </w:r>
            <w:r w:rsidR="00B862D0" w:rsidRPr="00DA4B74">
              <w:rPr>
                <w:b/>
                <w:bCs/>
                <w:sz w:val="24"/>
                <w:szCs w:val="28"/>
              </w:rPr>
              <w:t xml:space="preserve"> (AFR)</w:t>
            </w:r>
            <w:r w:rsidRPr="00DA4B74">
              <w:rPr>
                <w:b/>
                <w:bCs/>
                <w:sz w:val="24"/>
                <w:szCs w:val="28"/>
              </w:rPr>
              <w:t xml:space="preserve">’s Accumulated Fund must be reduced accordingly. </w:t>
            </w:r>
            <w:r w:rsidR="00D418CF" w:rsidRPr="00DA4B74">
              <w:rPr>
                <w:b/>
                <w:bCs/>
                <w:sz w:val="24"/>
                <w:szCs w:val="28"/>
              </w:rPr>
              <w:t xml:space="preserve"> </w:t>
            </w:r>
            <w:r w:rsidRPr="00DA4B74">
              <w:rPr>
                <w:b/>
                <w:bCs/>
                <w:sz w:val="24"/>
                <w:szCs w:val="28"/>
              </w:rPr>
              <w:t>The Accumulated Fund will</w:t>
            </w:r>
            <w:r w:rsidR="00D418CF" w:rsidRPr="00DA4B74">
              <w:rPr>
                <w:b/>
                <w:bCs/>
                <w:sz w:val="24"/>
                <w:szCs w:val="28"/>
              </w:rPr>
              <w:t xml:space="preserve"> </w:t>
            </w:r>
            <w:r w:rsidRPr="00DA4B74">
              <w:rPr>
                <w:b/>
                <w:bCs/>
                <w:sz w:val="24"/>
                <w:szCs w:val="28"/>
              </w:rPr>
              <w:t>be reduced by the shortfall in cash and the unappropriated surplus increased accordingly, using</w:t>
            </w:r>
            <w:r w:rsidR="00D418CF" w:rsidRPr="00DA4B74">
              <w:rPr>
                <w:b/>
                <w:bCs/>
                <w:sz w:val="24"/>
                <w:szCs w:val="28"/>
              </w:rPr>
              <w:t xml:space="preserve"> </w:t>
            </w:r>
            <w:r w:rsidRPr="00DA4B74">
              <w:rPr>
                <w:b/>
                <w:bCs/>
                <w:sz w:val="24"/>
                <w:szCs w:val="28"/>
              </w:rPr>
              <w:t>the Statement of Changes in Community Wealth in the annual financial statements</w:t>
            </w:r>
            <w:r w:rsidR="00D418CF" w:rsidRPr="00DA4B74">
              <w:rPr>
                <w:b/>
                <w:bCs/>
                <w:sz w:val="24"/>
                <w:szCs w:val="28"/>
              </w:rPr>
              <w:t>.</w:t>
            </w:r>
          </w:p>
          <w:p w:rsidR="009770C4" w:rsidRPr="00DA4B74" w:rsidRDefault="009770C4" w:rsidP="00DA4B74">
            <w:pPr>
              <w:spacing w:before="120" w:after="120" w:line="240" w:lineRule="auto"/>
              <w:jc w:val="both"/>
              <w:rPr>
                <w:bCs/>
                <w:sz w:val="24"/>
                <w:szCs w:val="28"/>
              </w:rPr>
            </w:pPr>
            <w:r w:rsidRPr="00DA4B74">
              <w:rPr>
                <w:b/>
                <w:bCs/>
                <w:sz w:val="24"/>
                <w:szCs w:val="28"/>
              </w:rPr>
              <w:t>[Reference:  Chapter 2 of the National Treasury Guidelines for the Implementation of Accounting Standards of Generally Recognised Accounting Practice]</w:t>
            </w:r>
          </w:p>
        </w:tc>
      </w:tr>
    </w:tbl>
    <w:p w:rsidR="001578F2" w:rsidRPr="00695A56" w:rsidRDefault="003B090F" w:rsidP="00695A56">
      <w:pPr>
        <w:pStyle w:val="Heading3"/>
        <w:rPr>
          <w:rFonts w:ascii="Arial" w:hAnsi="Arial" w:cs="Arial"/>
          <w:color w:val="auto"/>
          <w:sz w:val="20"/>
          <w:szCs w:val="20"/>
        </w:rPr>
      </w:pPr>
      <w:bookmarkStart w:id="24" w:name="_Toc466034845"/>
      <w:r w:rsidRPr="00695A56">
        <w:rPr>
          <w:rFonts w:ascii="Arial" w:hAnsi="Arial" w:cs="Arial"/>
          <w:color w:val="auto"/>
          <w:sz w:val="20"/>
          <w:szCs w:val="20"/>
        </w:rPr>
        <w:t>Unbundling Loans Redeemed and Other Capital Receipts</w:t>
      </w:r>
      <w:bookmarkEnd w:id="24"/>
    </w:p>
    <w:p w:rsidR="00600926" w:rsidRPr="00DA4B74" w:rsidRDefault="003B090F" w:rsidP="00DA4B74">
      <w:pPr>
        <w:jc w:val="both"/>
        <w:rPr>
          <w:color w:val="000000"/>
          <w:sz w:val="22"/>
        </w:rPr>
      </w:pPr>
      <w:r w:rsidRPr="00DA4B74">
        <w:rPr>
          <w:color w:val="000000"/>
          <w:sz w:val="22"/>
        </w:rPr>
        <w:t>Loans Redeemed and Other Capital Receipts must be used to fund backlog depreciation and, where appropriate, to establish the Future Depreciation Reserves that are now an integral part of</w:t>
      </w:r>
      <w:r w:rsidR="00600926" w:rsidRPr="00DA4B74">
        <w:rPr>
          <w:color w:val="000000"/>
          <w:sz w:val="22"/>
        </w:rPr>
        <w:t xml:space="preserve"> </w:t>
      </w:r>
      <w:r w:rsidRPr="00DA4B74">
        <w:rPr>
          <w:color w:val="000000"/>
          <w:sz w:val="22"/>
        </w:rPr>
        <w:t>the new capital accounting model.</w:t>
      </w:r>
      <w:r w:rsidR="00600926" w:rsidRPr="00DA4B74">
        <w:rPr>
          <w:color w:val="000000"/>
          <w:sz w:val="22"/>
        </w:rPr>
        <w:t xml:space="preserve">  </w:t>
      </w:r>
      <w:r w:rsidRPr="00DA4B74">
        <w:rPr>
          <w:color w:val="000000"/>
          <w:sz w:val="22"/>
        </w:rPr>
        <w:t>The Fixed Assets Register must include information on the financing sources of property, plant</w:t>
      </w:r>
      <w:r w:rsidR="00600926" w:rsidRPr="00DA4B74">
        <w:rPr>
          <w:color w:val="000000"/>
          <w:sz w:val="22"/>
        </w:rPr>
        <w:t xml:space="preserve"> </w:t>
      </w:r>
      <w:r w:rsidRPr="00DA4B74">
        <w:rPr>
          <w:color w:val="000000"/>
          <w:sz w:val="22"/>
        </w:rPr>
        <w:t>and equipment as explained in chapter 3. It should therefore be possible to reconcile Loans</w:t>
      </w:r>
      <w:r w:rsidR="00600926" w:rsidRPr="00DA4B74">
        <w:rPr>
          <w:color w:val="000000"/>
          <w:sz w:val="22"/>
        </w:rPr>
        <w:t xml:space="preserve"> </w:t>
      </w:r>
      <w:r w:rsidRPr="00DA4B74">
        <w:rPr>
          <w:color w:val="000000"/>
          <w:sz w:val="22"/>
        </w:rPr>
        <w:t>Redeemed and Other Capital Receipts to the total of property, plant and equipment.</w:t>
      </w:r>
      <w:r w:rsidR="00600926" w:rsidRPr="00DA4B74">
        <w:rPr>
          <w:color w:val="000000"/>
          <w:sz w:val="22"/>
        </w:rPr>
        <w:t xml:space="preserve">  </w:t>
      </w:r>
    </w:p>
    <w:p w:rsidR="00600926" w:rsidRPr="00DA4B74" w:rsidRDefault="003B090F" w:rsidP="00DA4B74">
      <w:pPr>
        <w:jc w:val="both"/>
        <w:rPr>
          <w:color w:val="000000"/>
          <w:sz w:val="22"/>
        </w:rPr>
      </w:pPr>
      <w:r w:rsidRPr="00DA4B74">
        <w:rPr>
          <w:color w:val="000000"/>
          <w:sz w:val="22"/>
        </w:rPr>
        <w:t>The following reconciliation should be performed to prove that Loans Redeemed and Other</w:t>
      </w:r>
      <w:r w:rsidR="00600926" w:rsidRPr="00DA4B74">
        <w:rPr>
          <w:color w:val="000000"/>
          <w:sz w:val="22"/>
        </w:rPr>
        <w:t xml:space="preserve"> </w:t>
      </w:r>
      <w:r w:rsidRPr="00DA4B74">
        <w:rPr>
          <w:color w:val="000000"/>
          <w:sz w:val="22"/>
        </w:rPr>
        <w:t>Capital Receipts do reconcile to property, plant and equipment:</w:t>
      </w:r>
    </w:p>
    <w:p w:rsidR="00600926" w:rsidRPr="00DA4B74" w:rsidRDefault="003B090F" w:rsidP="00DA4B74">
      <w:pPr>
        <w:pStyle w:val="BulletParagraphs"/>
        <w:jc w:val="both"/>
      </w:pPr>
      <w:r w:rsidRPr="00DA4B74">
        <w:t>Total Property, Plant and Equipment</w:t>
      </w:r>
      <w:r w:rsidR="00600926" w:rsidRPr="00DA4B74">
        <w:t xml:space="preserve">  </w:t>
      </w:r>
    </w:p>
    <w:p w:rsidR="00600926" w:rsidRPr="00DA4B74" w:rsidRDefault="003B090F" w:rsidP="00DA4B74">
      <w:pPr>
        <w:pStyle w:val="BulletParagraphs"/>
        <w:jc w:val="both"/>
      </w:pPr>
      <w:r w:rsidRPr="00DA4B74">
        <w:t>Less: Loans Redeemed and Other Capital Receipts</w:t>
      </w:r>
      <w:r w:rsidR="00600926" w:rsidRPr="00DA4B74">
        <w:t xml:space="preserve">  </w:t>
      </w:r>
    </w:p>
    <w:p w:rsidR="00600926" w:rsidRPr="00DA4B74" w:rsidRDefault="003B090F" w:rsidP="00DA4B74">
      <w:pPr>
        <w:pStyle w:val="BulletParagraphs"/>
        <w:jc w:val="both"/>
      </w:pPr>
      <w:r w:rsidRPr="00DA4B74">
        <w:t>Less: External Loans Outstanding</w:t>
      </w:r>
      <w:r w:rsidR="00600926" w:rsidRPr="00DA4B74">
        <w:t xml:space="preserve">  </w:t>
      </w:r>
    </w:p>
    <w:p w:rsidR="00600926" w:rsidRPr="00DA4B74" w:rsidRDefault="003B090F" w:rsidP="00DA4B74">
      <w:pPr>
        <w:pStyle w:val="BulletParagraphs"/>
        <w:jc w:val="both"/>
      </w:pPr>
      <w:r w:rsidRPr="00DA4B74">
        <w:t>Less: Internal Loans or Advances Outstanding</w:t>
      </w:r>
      <w:r w:rsidR="00600926" w:rsidRPr="00DA4B74">
        <w:t xml:space="preserve">  </w:t>
      </w:r>
    </w:p>
    <w:p w:rsidR="00600926" w:rsidRPr="00DA4B74" w:rsidRDefault="003B090F" w:rsidP="00DA4B74">
      <w:pPr>
        <w:pStyle w:val="BulletParagraphs"/>
        <w:jc w:val="both"/>
      </w:pPr>
      <w:r w:rsidRPr="00DA4B74">
        <w:t>Equals Zero</w:t>
      </w:r>
    </w:p>
    <w:p w:rsidR="00600926" w:rsidRPr="00DA4B74" w:rsidRDefault="003B090F" w:rsidP="00DA4B74">
      <w:pPr>
        <w:jc w:val="both"/>
        <w:rPr>
          <w:color w:val="000000"/>
          <w:sz w:val="22"/>
        </w:rPr>
      </w:pPr>
      <w:r w:rsidRPr="00DA4B74">
        <w:rPr>
          <w:color w:val="000000"/>
          <w:sz w:val="22"/>
        </w:rPr>
        <w:t>If this reconciliation does not equal zero, then an adjustment must be made to Loans Redeemed</w:t>
      </w:r>
      <w:r w:rsidR="00600926" w:rsidRPr="00DA4B74">
        <w:rPr>
          <w:color w:val="000000"/>
          <w:sz w:val="22"/>
        </w:rPr>
        <w:t xml:space="preserve"> </w:t>
      </w:r>
      <w:r w:rsidRPr="00DA4B74">
        <w:rPr>
          <w:color w:val="000000"/>
          <w:sz w:val="22"/>
        </w:rPr>
        <w:t xml:space="preserve">and Other Capital Receipts to balance the reconciliation to zero. </w:t>
      </w:r>
      <w:r w:rsidR="00600926" w:rsidRPr="00DA4B74">
        <w:rPr>
          <w:color w:val="000000"/>
          <w:sz w:val="22"/>
        </w:rPr>
        <w:t xml:space="preserve"> </w:t>
      </w:r>
      <w:r w:rsidRPr="00DA4B74">
        <w:rPr>
          <w:color w:val="000000"/>
          <w:sz w:val="22"/>
        </w:rPr>
        <w:t>The corresponding entry will</w:t>
      </w:r>
      <w:r w:rsidR="00600926" w:rsidRPr="00DA4B74">
        <w:rPr>
          <w:color w:val="000000"/>
          <w:sz w:val="22"/>
        </w:rPr>
        <w:t xml:space="preserve"> </w:t>
      </w:r>
      <w:r w:rsidRPr="00DA4B74">
        <w:rPr>
          <w:color w:val="000000"/>
          <w:sz w:val="22"/>
        </w:rPr>
        <w:t>be processed to the unappropriated surplus account.</w:t>
      </w:r>
      <w:r w:rsidR="00600926" w:rsidRPr="00DA4B74">
        <w:rPr>
          <w:color w:val="000000"/>
          <w:sz w:val="22"/>
        </w:rPr>
        <w:t xml:space="preserve">  </w:t>
      </w:r>
      <w:r w:rsidRPr="00DA4B74">
        <w:rPr>
          <w:color w:val="000000"/>
          <w:sz w:val="22"/>
        </w:rPr>
        <w:t>As part of this process, it is important to ensure that all external loans are allocated to items of</w:t>
      </w:r>
      <w:r w:rsidR="00600926" w:rsidRPr="00DA4B74">
        <w:rPr>
          <w:color w:val="000000"/>
          <w:sz w:val="22"/>
        </w:rPr>
        <w:t xml:space="preserve"> </w:t>
      </w:r>
      <w:r w:rsidRPr="00DA4B74">
        <w:rPr>
          <w:color w:val="000000"/>
          <w:sz w:val="22"/>
        </w:rPr>
        <w:t>property, plant and equipment.</w:t>
      </w:r>
      <w:r w:rsidR="00600926" w:rsidRPr="00DA4B74">
        <w:rPr>
          <w:color w:val="000000"/>
          <w:sz w:val="22"/>
        </w:rPr>
        <w:t xml:space="preserve"> </w:t>
      </w:r>
      <w:r w:rsidRPr="00DA4B74">
        <w:rPr>
          <w:color w:val="000000"/>
          <w:sz w:val="22"/>
        </w:rPr>
        <w:t xml:space="preserve"> It is important that all internal loans are also allocated to</w:t>
      </w:r>
      <w:r w:rsidR="00600926" w:rsidRPr="00DA4B74">
        <w:rPr>
          <w:color w:val="000000"/>
          <w:sz w:val="22"/>
        </w:rPr>
        <w:t xml:space="preserve"> </w:t>
      </w:r>
      <w:r w:rsidRPr="00DA4B74">
        <w:rPr>
          <w:color w:val="000000"/>
          <w:sz w:val="22"/>
        </w:rPr>
        <w:t xml:space="preserve">items of property, plant and equipment. </w:t>
      </w:r>
      <w:r w:rsidR="00600926" w:rsidRPr="00DA4B74">
        <w:rPr>
          <w:color w:val="000000"/>
          <w:sz w:val="22"/>
        </w:rPr>
        <w:t xml:space="preserve"> </w:t>
      </w:r>
      <w:r w:rsidRPr="00DA4B74">
        <w:rPr>
          <w:color w:val="000000"/>
          <w:sz w:val="22"/>
        </w:rPr>
        <w:t>This should be possible, as most municipalities have</w:t>
      </w:r>
      <w:r w:rsidR="00600926" w:rsidRPr="00DA4B74">
        <w:rPr>
          <w:color w:val="000000"/>
          <w:sz w:val="22"/>
        </w:rPr>
        <w:t xml:space="preserve"> </w:t>
      </w:r>
      <w:r w:rsidRPr="00DA4B74">
        <w:rPr>
          <w:color w:val="000000"/>
          <w:sz w:val="22"/>
        </w:rPr>
        <w:t xml:space="preserve">Internal Advances Registers with details of items of property, plant and equipment financed. </w:t>
      </w:r>
      <w:r w:rsidR="00600926" w:rsidRPr="00DA4B74">
        <w:rPr>
          <w:color w:val="000000"/>
          <w:sz w:val="22"/>
        </w:rPr>
        <w:t xml:space="preserve"> </w:t>
      </w:r>
      <w:r w:rsidRPr="00DA4B74">
        <w:rPr>
          <w:color w:val="000000"/>
          <w:sz w:val="22"/>
        </w:rPr>
        <w:t>It</w:t>
      </w:r>
      <w:r w:rsidR="00600926" w:rsidRPr="00DA4B74">
        <w:rPr>
          <w:color w:val="000000"/>
          <w:sz w:val="22"/>
        </w:rPr>
        <w:t xml:space="preserve"> </w:t>
      </w:r>
      <w:r w:rsidRPr="00DA4B74">
        <w:rPr>
          <w:color w:val="000000"/>
          <w:sz w:val="22"/>
        </w:rPr>
        <w:t>is also important to allocate loans redeemed to specific items of property, plant and equipment</w:t>
      </w:r>
      <w:r w:rsidR="00600926" w:rsidRPr="00DA4B74">
        <w:rPr>
          <w:color w:val="000000"/>
          <w:sz w:val="22"/>
        </w:rPr>
        <w:t xml:space="preserve"> </w:t>
      </w:r>
      <w:r w:rsidRPr="00DA4B74">
        <w:rPr>
          <w:color w:val="000000"/>
          <w:sz w:val="22"/>
        </w:rPr>
        <w:t>when undertaking this process.</w:t>
      </w:r>
    </w:p>
    <w:p w:rsidR="00600926" w:rsidRPr="00DA4B74" w:rsidRDefault="003B090F" w:rsidP="00DA4B74">
      <w:pPr>
        <w:jc w:val="both"/>
        <w:rPr>
          <w:b/>
          <w:bCs/>
          <w:color w:val="000000"/>
          <w:sz w:val="22"/>
        </w:rPr>
      </w:pPr>
      <w:r w:rsidRPr="00DA4B74">
        <w:rPr>
          <w:b/>
          <w:bCs/>
          <w:color w:val="000000"/>
          <w:sz w:val="22"/>
        </w:rPr>
        <w:t>Overview of the unbundling process</w:t>
      </w:r>
      <w:r w:rsidR="00600926" w:rsidRPr="00DA4B74">
        <w:rPr>
          <w:b/>
          <w:bCs/>
          <w:color w:val="000000"/>
          <w:sz w:val="22"/>
        </w:rPr>
        <w:t xml:space="preserve">  </w:t>
      </w:r>
    </w:p>
    <w:p w:rsidR="00600926" w:rsidRPr="00DA4B74" w:rsidRDefault="003B090F" w:rsidP="00DA4B74">
      <w:pPr>
        <w:jc w:val="both"/>
        <w:rPr>
          <w:color w:val="000000"/>
          <w:sz w:val="22"/>
        </w:rPr>
      </w:pPr>
      <w:r w:rsidRPr="00DA4B74">
        <w:rPr>
          <w:color w:val="000000"/>
          <w:sz w:val="22"/>
        </w:rPr>
        <w:t>An overview of the unbundling of LROCR (Loans Redeemed and Other Capital Receipts) is</w:t>
      </w:r>
      <w:r w:rsidR="00600926" w:rsidRPr="00DA4B74">
        <w:rPr>
          <w:color w:val="000000"/>
          <w:sz w:val="22"/>
        </w:rPr>
        <w:t xml:space="preserve"> </w:t>
      </w:r>
      <w:r w:rsidRPr="00DA4B74">
        <w:rPr>
          <w:color w:val="000000"/>
          <w:sz w:val="22"/>
        </w:rPr>
        <w:t>provided in the table below.</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486"/>
        <w:gridCol w:w="3484"/>
        <w:gridCol w:w="3484"/>
        <w:gridCol w:w="3484"/>
      </w:tblGrid>
      <w:tr w:rsidR="00AF7175" w:rsidRPr="00DA4B74" w:rsidTr="00052202">
        <w:trPr>
          <w:tblHeader/>
        </w:trPr>
        <w:tc>
          <w:tcPr>
            <w:tcW w:w="3486" w:type="dxa"/>
            <w:tcBorders>
              <w:top w:val="single" w:sz="8" w:space="0" w:color="7BA0CD"/>
              <w:left w:val="single" w:sz="8" w:space="0" w:color="7BA0CD"/>
              <w:bottom w:val="single" w:sz="8" w:space="0" w:color="7BA0CD"/>
            </w:tcBorders>
            <w:shd w:val="clear" w:color="auto" w:fill="C00000"/>
          </w:tcPr>
          <w:p w:rsidR="00600926" w:rsidRPr="00DA4B74" w:rsidRDefault="00600926" w:rsidP="00DA4B74">
            <w:pPr>
              <w:spacing w:before="120" w:after="120" w:line="240" w:lineRule="auto"/>
              <w:jc w:val="both"/>
              <w:rPr>
                <w:b/>
                <w:color w:val="FFFFFF"/>
                <w:sz w:val="22"/>
              </w:rPr>
            </w:pPr>
            <w:r w:rsidRPr="00DA4B74">
              <w:rPr>
                <w:b/>
                <w:bCs/>
                <w:color w:val="FFFFFF"/>
                <w:sz w:val="22"/>
              </w:rPr>
              <w:t>Component of Loans Redeemed and Other Capital Receipts</w:t>
            </w:r>
          </w:p>
        </w:tc>
        <w:tc>
          <w:tcPr>
            <w:tcW w:w="3484" w:type="dxa"/>
            <w:tcBorders>
              <w:top w:val="single" w:sz="8" w:space="0" w:color="7BA0CD"/>
              <w:bottom w:val="single" w:sz="8" w:space="0" w:color="7BA0CD"/>
            </w:tcBorders>
            <w:shd w:val="clear" w:color="auto" w:fill="C00000"/>
          </w:tcPr>
          <w:p w:rsidR="00600926" w:rsidRPr="00DA4B74" w:rsidRDefault="00600926" w:rsidP="00DA4B74">
            <w:pPr>
              <w:spacing w:before="120" w:after="120" w:line="240" w:lineRule="auto"/>
              <w:jc w:val="both"/>
              <w:rPr>
                <w:b/>
                <w:color w:val="FFFFFF"/>
                <w:sz w:val="22"/>
              </w:rPr>
            </w:pPr>
            <w:r w:rsidRPr="00DA4B74">
              <w:rPr>
                <w:b/>
                <w:bCs/>
                <w:color w:val="FFFFFF"/>
                <w:sz w:val="22"/>
              </w:rPr>
              <w:t>Process for Assets funded from this</w:t>
            </w:r>
          </w:p>
        </w:tc>
        <w:tc>
          <w:tcPr>
            <w:tcW w:w="3484" w:type="dxa"/>
            <w:tcBorders>
              <w:top w:val="single" w:sz="8" w:space="0" w:color="7BA0CD"/>
              <w:bottom w:val="single" w:sz="8" w:space="0" w:color="7BA0CD"/>
            </w:tcBorders>
            <w:shd w:val="clear" w:color="auto" w:fill="C00000"/>
          </w:tcPr>
          <w:p w:rsidR="00600926" w:rsidRPr="00DA4B74" w:rsidRDefault="00600926" w:rsidP="00DA4B74">
            <w:pPr>
              <w:spacing w:before="120" w:after="120" w:line="240" w:lineRule="auto"/>
              <w:jc w:val="both"/>
              <w:rPr>
                <w:b/>
                <w:color w:val="FFFFFF"/>
                <w:sz w:val="22"/>
              </w:rPr>
            </w:pPr>
            <w:r w:rsidRPr="00DA4B74">
              <w:rPr>
                <w:b/>
                <w:bCs/>
                <w:color w:val="FFFFFF"/>
                <w:sz w:val="22"/>
              </w:rPr>
              <w:t>Convert to Accumulated Depreciation</w:t>
            </w:r>
          </w:p>
        </w:tc>
        <w:tc>
          <w:tcPr>
            <w:tcW w:w="3484" w:type="dxa"/>
            <w:tcBorders>
              <w:top w:val="single" w:sz="8" w:space="0" w:color="7BA0CD"/>
              <w:bottom w:val="single" w:sz="8" w:space="0" w:color="7BA0CD"/>
              <w:right w:val="single" w:sz="8" w:space="0" w:color="7BA0CD"/>
            </w:tcBorders>
            <w:shd w:val="clear" w:color="auto" w:fill="C00000"/>
          </w:tcPr>
          <w:p w:rsidR="00600926" w:rsidRPr="00DA4B74" w:rsidRDefault="00600926" w:rsidP="00DA4B74">
            <w:pPr>
              <w:spacing w:before="120" w:after="120" w:line="240" w:lineRule="auto"/>
              <w:jc w:val="both"/>
              <w:rPr>
                <w:b/>
                <w:color w:val="FFFFFF"/>
                <w:sz w:val="22"/>
              </w:rPr>
            </w:pPr>
            <w:r w:rsidRPr="00DA4B74">
              <w:rPr>
                <w:b/>
                <w:bCs/>
                <w:color w:val="FFFFFF"/>
                <w:sz w:val="22"/>
              </w:rPr>
              <w:t>Treatment of Residual Balance</w:t>
            </w:r>
          </w:p>
        </w:tc>
      </w:tr>
      <w:tr w:rsidR="00AF7175" w:rsidRPr="00DA4B74" w:rsidTr="00052202">
        <w:tc>
          <w:tcPr>
            <w:tcW w:w="3486" w:type="dxa"/>
            <w:shd w:val="clear" w:color="auto" w:fill="D9D9D9" w:themeFill="background1" w:themeFillShade="D9"/>
          </w:tcPr>
          <w:p w:rsidR="00600926" w:rsidRPr="00DA4B74" w:rsidRDefault="001D130C" w:rsidP="00DA4B74">
            <w:pPr>
              <w:spacing w:before="120" w:after="120" w:line="240" w:lineRule="auto"/>
              <w:jc w:val="both"/>
              <w:rPr>
                <w:color w:val="000000"/>
                <w:sz w:val="22"/>
              </w:rPr>
            </w:pPr>
            <w:r w:rsidRPr="00DA4B74">
              <w:rPr>
                <w:b/>
                <w:bCs/>
                <w:color w:val="000000"/>
                <w:sz w:val="22"/>
              </w:rPr>
              <w:t>Revenue contributions</w:t>
            </w:r>
          </w:p>
        </w:tc>
        <w:tc>
          <w:tcPr>
            <w:tcW w:w="3484" w:type="dxa"/>
            <w:shd w:val="clear" w:color="auto" w:fill="D9D9D9" w:themeFill="background1" w:themeFillShade="D9"/>
          </w:tcPr>
          <w:p w:rsidR="00600926" w:rsidRPr="00DA4B74" w:rsidRDefault="001D130C" w:rsidP="00DA4B74">
            <w:pPr>
              <w:spacing w:before="120" w:after="120" w:line="240" w:lineRule="auto"/>
              <w:jc w:val="both"/>
              <w:rPr>
                <w:bCs/>
                <w:color w:val="000000"/>
                <w:sz w:val="22"/>
              </w:rPr>
            </w:pPr>
            <w:r w:rsidRPr="00DA4B74">
              <w:rPr>
                <w:color w:val="000000"/>
                <w:sz w:val="22"/>
              </w:rPr>
              <w:t>Determine backlog accumulated depreciation</w:t>
            </w:r>
          </w:p>
        </w:tc>
        <w:tc>
          <w:tcPr>
            <w:tcW w:w="3484" w:type="dxa"/>
            <w:shd w:val="clear" w:color="auto" w:fill="D9D9D9" w:themeFill="background1" w:themeFillShade="D9"/>
          </w:tcPr>
          <w:p w:rsidR="00600926" w:rsidRPr="00DA4B74" w:rsidRDefault="009465B1" w:rsidP="00DA4B74">
            <w:pPr>
              <w:spacing w:before="120" w:after="120" w:line="240" w:lineRule="auto"/>
              <w:jc w:val="both"/>
              <w:rPr>
                <w:bCs/>
                <w:color w:val="000000"/>
                <w:sz w:val="22"/>
              </w:rPr>
            </w:pPr>
            <w:r w:rsidRPr="00DA4B74">
              <w:rPr>
                <w:color w:val="000000"/>
                <w:sz w:val="22"/>
              </w:rPr>
              <w:t>Allocate corresponding balance of revenue contributions to accumulated depreciation</w:t>
            </w:r>
          </w:p>
        </w:tc>
        <w:tc>
          <w:tcPr>
            <w:tcW w:w="3484" w:type="dxa"/>
            <w:shd w:val="clear" w:color="auto" w:fill="D9D9D9" w:themeFill="background1" w:themeFillShade="D9"/>
          </w:tcPr>
          <w:p w:rsidR="00600926" w:rsidRPr="00DA4B74" w:rsidRDefault="009465B1" w:rsidP="00DA4B74">
            <w:pPr>
              <w:spacing w:before="120" w:after="120" w:line="240" w:lineRule="auto"/>
              <w:jc w:val="both"/>
              <w:rPr>
                <w:bCs/>
                <w:color w:val="000000"/>
                <w:sz w:val="22"/>
              </w:rPr>
            </w:pPr>
            <w:r w:rsidRPr="00DA4B74">
              <w:rPr>
                <w:color w:val="000000"/>
                <w:sz w:val="22"/>
              </w:rPr>
              <w:t>Balance of revenue contributions to unappropriated surplus</w:t>
            </w:r>
            <w:r w:rsidRPr="00DA4B74">
              <w:rPr>
                <w:color w:val="000000"/>
                <w:sz w:val="22"/>
              </w:rPr>
              <w:br/>
            </w:r>
          </w:p>
        </w:tc>
      </w:tr>
      <w:tr w:rsidR="00AF7175" w:rsidRPr="00DA4B74" w:rsidTr="00DA4B74">
        <w:tc>
          <w:tcPr>
            <w:tcW w:w="3486" w:type="dxa"/>
            <w:tcBorders>
              <w:right w:val="nil"/>
            </w:tcBorders>
            <w:shd w:val="clear" w:color="auto" w:fill="auto"/>
          </w:tcPr>
          <w:p w:rsidR="00600926" w:rsidRPr="00DA4B74" w:rsidRDefault="009465B1" w:rsidP="00DA4B74">
            <w:pPr>
              <w:spacing w:before="120" w:after="120" w:line="240" w:lineRule="auto"/>
              <w:jc w:val="both"/>
              <w:rPr>
                <w:color w:val="000000"/>
                <w:sz w:val="22"/>
              </w:rPr>
            </w:pPr>
            <w:r w:rsidRPr="00DA4B74">
              <w:rPr>
                <w:b/>
                <w:bCs/>
                <w:color w:val="000000"/>
                <w:sz w:val="22"/>
              </w:rPr>
              <w:t>Public contributions/donations</w:t>
            </w:r>
          </w:p>
        </w:tc>
        <w:tc>
          <w:tcPr>
            <w:tcW w:w="3484" w:type="dxa"/>
            <w:tcBorders>
              <w:left w:val="nil"/>
              <w:right w:val="nil"/>
            </w:tcBorders>
            <w:shd w:val="clear" w:color="auto" w:fill="auto"/>
          </w:tcPr>
          <w:p w:rsidR="00600926" w:rsidRPr="00DA4B74" w:rsidRDefault="009465B1" w:rsidP="00DA4B74">
            <w:pPr>
              <w:spacing w:before="120" w:after="120" w:line="240" w:lineRule="auto"/>
              <w:jc w:val="both"/>
              <w:rPr>
                <w:bCs/>
                <w:color w:val="000000"/>
                <w:sz w:val="22"/>
              </w:rPr>
            </w:pPr>
            <w:r w:rsidRPr="00DA4B74">
              <w:rPr>
                <w:color w:val="000000"/>
                <w:sz w:val="22"/>
              </w:rPr>
              <w:t>Determine backlog accumulated depreciation</w:t>
            </w:r>
          </w:p>
        </w:tc>
        <w:tc>
          <w:tcPr>
            <w:tcW w:w="3484" w:type="dxa"/>
            <w:tcBorders>
              <w:left w:val="nil"/>
              <w:right w:val="nil"/>
            </w:tcBorders>
            <w:shd w:val="clear" w:color="auto" w:fill="auto"/>
          </w:tcPr>
          <w:p w:rsidR="00600926" w:rsidRPr="00DA4B74" w:rsidRDefault="009465B1" w:rsidP="00DA4B74">
            <w:pPr>
              <w:spacing w:before="120" w:after="120" w:line="240" w:lineRule="auto"/>
              <w:jc w:val="both"/>
              <w:rPr>
                <w:bCs/>
                <w:color w:val="000000"/>
                <w:sz w:val="22"/>
              </w:rPr>
            </w:pPr>
            <w:r w:rsidRPr="00DA4B74">
              <w:rPr>
                <w:color w:val="000000"/>
                <w:sz w:val="22"/>
              </w:rPr>
              <w:t>Allocate corresponding balance of public contributions/ donations to accumulated depreciation to prevent double taxation</w:t>
            </w:r>
          </w:p>
        </w:tc>
        <w:tc>
          <w:tcPr>
            <w:tcW w:w="3484" w:type="dxa"/>
            <w:tcBorders>
              <w:left w:val="nil"/>
            </w:tcBorders>
            <w:shd w:val="clear" w:color="auto" w:fill="auto"/>
          </w:tcPr>
          <w:p w:rsidR="00600926" w:rsidRPr="00DA4B74" w:rsidRDefault="009465B1" w:rsidP="00DA4B74">
            <w:pPr>
              <w:spacing w:before="120" w:after="120" w:line="240" w:lineRule="auto"/>
              <w:jc w:val="both"/>
              <w:rPr>
                <w:bCs/>
                <w:color w:val="000000"/>
                <w:sz w:val="22"/>
              </w:rPr>
            </w:pPr>
            <w:r w:rsidRPr="00DA4B74">
              <w:rPr>
                <w:color w:val="000000"/>
                <w:sz w:val="22"/>
              </w:rPr>
              <w:t>Balance of public contributions/ donations to Future Depreciation Reserve</w:t>
            </w:r>
          </w:p>
        </w:tc>
      </w:tr>
      <w:tr w:rsidR="00AF7175" w:rsidRPr="00DA4B74" w:rsidTr="00052202">
        <w:tc>
          <w:tcPr>
            <w:tcW w:w="3486" w:type="dxa"/>
            <w:shd w:val="clear" w:color="auto" w:fill="D9D9D9" w:themeFill="background1" w:themeFillShade="D9"/>
          </w:tcPr>
          <w:p w:rsidR="009465B1" w:rsidRPr="00DA4B74" w:rsidRDefault="009465B1" w:rsidP="00DA4B74">
            <w:pPr>
              <w:spacing w:before="120" w:after="120" w:line="240" w:lineRule="auto"/>
              <w:jc w:val="both"/>
              <w:rPr>
                <w:b/>
                <w:bCs/>
                <w:color w:val="000000"/>
                <w:sz w:val="22"/>
              </w:rPr>
            </w:pPr>
            <w:r w:rsidRPr="00DA4B74">
              <w:rPr>
                <w:b/>
                <w:bCs/>
                <w:color w:val="000000"/>
                <w:sz w:val="22"/>
              </w:rPr>
              <w:t>External Loans Redeemed</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Determine backlog accumulated depreciation (should be in agreement with balance on external loans redeemed account</w:t>
            </w:r>
            <w:r w:rsidR="00F2096F" w:rsidRPr="00DA4B74">
              <w:rPr>
                <w:color w:val="000000"/>
                <w:sz w:val="22"/>
              </w:rPr>
              <w:t>,</w:t>
            </w:r>
            <w:r w:rsidRPr="00DA4B74">
              <w:rPr>
                <w:color w:val="000000"/>
                <w:sz w:val="22"/>
              </w:rPr>
              <w:t xml:space="preserve"> if loan period corresponds with asset lives)</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Allocate external loans redeemed to accumulated depreciation to prevent double taxation</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Not applicable</w:t>
            </w:r>
          </w:p>
        </w:tc>
      </w:tr>
      <w:tr w:rsidR="00AF7175" w:rsidRPr="00DA4B74" w:rsidTr="00DA4B74">
        <w:tc>
          <w:tcPr>
            <w:tcW w:w="3486" w:type="dxa"/>
            <w:tcBorders>
              <w:right w:val="nil"/>
            </w:tcBorders>
            <w:shd w:val="clear" w:color="auto" w:fill="auto"/>
          </w:tcPr>
          <w:p w:rsidR="009465B1" w:rsidRPr="00DA4B74" w:rsidRDefault="009465B1" w:rsidP="00DA4B74">
            <w:pPr>
              <w:spacing w:before="120" w:after="120" w:line="240" w:lineRule="auto"/>
              <w:jc w:val="both"/>
              <w:rPr>
                <w:bCs/>
                <w:color w:val="000000"/>
                <w:sz w:val="22"/>
              </w:rPr>
            </w:pPr>
            <w:r w:rsidRPr="00DA4B74">
              <w:rPr>
                <w:b/>
                <w:bCs/>
                <w:color w:val="000000"/>
                <w:sz w:val="22"/>
              </w:rPr>
              <w:t>Internal Loans Redeemed</w:t>
            </w:r>
          </w:p>
        </w:tc>
        <w:tc>
          <w:tcPr>
            <w:tcW w:w="3484" w:type="dxa"/>
            <w:tcBorders>
              <w:left w:val="nil"/>
              <w:righ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Determine backlog accumulated depreciation (should be in agreement with balance on internal loans redeemed account</w:t>
            </w:r>
            <w:r w:rsidR="008333F5" w:rsidRPr="00DA4B74">
              <w:rPr>
                <w:color w:val="000000"/>
                <w:sz w:val="22"/>
              </w:rPr>
              <w:t>,</w:t>
            </w:r>
            <w:r w:rsidRPr="00DA4B74">
              <w:rPr>
                <w:color w:val="000000"/>
                <w:sz w:val="22"/>
              </w:rPr>
              <w:t xml:space="preserve"> if loan period corresponds with asset life) </w:t>
            </w:r>
          </w:p>
        </w:tc>
        <w:tc>
          <w:tcPr>
            <w:tcW w:w="3484" w:type="dxa"/>
            <w:tcBorders>
              <w:left w:val="nil"/>
              <w:righ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Allocate internal loans redeemed to accumulated depreciation</w:t>
            </w:r>
          </w:p>
        </w:tc>
        <w:tc>
          <w:tcPr>
            <w:tcW w:w="3484" w:type="dxa"/>
            <w:tcBorders>
              <w:lef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Not applicable</w:t>
            </w:r>
          </w:p>
        </w:tc>
      </w:tr>
      <w:tr w:rsidR="00AF7175" w:rsidRPr="00DA4B74" w:rsidTr="00052202">
        <w:tc>
          <w:tcPr>
            <w:tcW w:w="3486" w:type="dxa"/>
            <w:shd w:val="clear" w:color="auto" w:fill="D9D9D9" w:themeFill="background1" w:themeFillShade="D9"/>
          </w:tcPr>
          <w:p w:rsidR="009465B1" w:rsidRPr="00DA4B74" w:rsidRDefault="009465B1" w:rsidP="00DA4B74">
            <w:pPr>
              <w:spacing w:before="120" w:after="120" w:line="240" w:lineRule="auto"/>
              <w:jc w:val="both"/>
              <w:rPr>
                <w:bCs/>
                <w:color w:val="000000"/>
                <w:sz w:val="22"/>
              </w:rPr>
            </w:pPr>
            <w:r w:rsidRPr="00DA4B74">
              <w:rPr>
                <w:b/>
                <w:bCs/>
                <w:color w:val="000000"/>
                <w:sz w:val="22"/>
              </w:rPr>
              <w:t>Government grants</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Determine backlog accumulated depreciation</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Allocate corresponding balance of government grants to accumulated depreciation</w:t>
            </w:r>
          </w:p>
        </w:tc>
        <w:tc>
          <w:tcPr>
            <w:tcW w:w="3484" w:type="dxa"/>
            <w:shd w:val="clear" w:color="auto" w:fill="D9D9D9" w:themeFill="background1" w:themeFillShade="D9"/>
          </w:tcPr>
          <w:p w:rsidR="009465B1" w:rsidRPr="00DA4B74" w:rsidRDefault="009465B1" w:rsidP="00DA4B74">
            <w:pPr>
              <w:spacing w:before="120" w:after="120" w:line="240" w:lineRule="auto"/>
              <w:jc w:val="both"/>
              <w:rPr>
                <w:color w:val="000000"/>
                <w:sz w:val="22"/>
              </w:rPr>
            </w:pPr>
            <w:r w:rsidRPr="00DA4B74">
              <w:rPr>
                <w:color w:val="000000"/>
                <w:sz w:val="22"/>
              </w:rPr>
              <w:t>Balance of government grants to Future Depreciation Reserve</w:t>
            </w:r>
          </w:p>
        </w:tc>
      </w:tr>
      <w:tr w:rsidR="00AF7175" w:rsidRPr="00DA4B74" w:rsidTr="00DA4B74">
        <w:tc>
          <w:tcPr>
            <w:tcW w:w="3486" w:type="dxa"/>
            <w:tcBorders>
              <w:right w:val="nil"/>
            </w:tcBorders>
            <w:shd w:val="clear" w:color="auto" w:fill="auto"/>
          </w:tcPr>
          <w:p w:rsidR="009465B1" w:rsidRPr="00DA4B74" w:rsidRDefault="009465B1" w:rsidP="00DA4B74">
            <w:pPr>
              <w:spacing w:before="120" w:after="120" w:line="240" w:lineRule="auto"/>
              <w:jc w:val="both"/>
              <w:rPr>
                <w:bCs/>
                <w:color w:val="000000"/>
                <w:sz w:val="22"/>
              </w:rPr>
            </w:pPr>
            <w:r w:rsidRPr="00DA4B74">
              <w:rPr>
                <w:b/>
                <w:bCs/>
                <w:color w:val="000000"/>
                <w:sz w:val="22"/>
              </w:rPr>
              <w:t xml:space="preserve">Other sources of funding </w:t>
            </w:r>
          </w:p>
          <w:p w:rsidR="009465B1" w:rsidRPr="00DA4B74" w:rsidRDefault="009465B1" w:rsidP="00DA4B74">
            <w:pPr>
              <w:spacing w:before="120" w:after="120" w:line="240" w:lineRule="auto"/>
              <w:jc w:val="both"/>
              <w:rPr>
                <w:bCs/>
                <w:color w:val="000000"/>
                <w:sz w:val="22"/>
              </w:rPr>
            </w:pPr>
            <w:r w:rsidRPr="00DA4B74">
              <w:rPr>
                <w:b/>
                <w:bCs/>
                <w:color w:val="000000"/>
                <w:sz w:val="22"/>
              </w:rPr>
              <w:t>Note:  Historically, municipalities have different financing sources dependent on the requirements of the provincial ordinances or fund accounting practices prevailing when the item of property, plant and equipment was acquired.</w:t>
            </w:r>
          </w:p>
        </w:tc>
        <w:tc>
          <w:tcPr>
            <w:tcW w:w="3484" w:type="dxa"/>
            <w:tcBorders>
              <w:left w:val="nil"/>
              <w:righ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Determine backlog depreciation</w:t>
            </w:r>
          </w:p>
        </w:tc>
        <w:tc>
          <w:tcPr>
            <w:tcW w:w="3484" w:type="dxa"/>
            <w:tcBorders>
              <w:left w:val="nil"/>
              <w:righ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 xml:space="preserve">Allocate balance of funding to accumulated depreciation </w:t>
            </w:r>
          </w:p>
        </w:tc>
        <w:tc>
          <w:tcPr>
            <w:tcW w:w="3484" w:type="dxa"/>
            <w:tcBorders>
              <w:left w:val="nil"/>
            </w:tcBorders>
            <w:shd w:val="clear" w:color="auto" w:fill="auto"/>
          </w:tcPr>
          <w:p w:rsidR="009465B1" w:rsidRPr="00DA4B74" w:rsidRDefault="009465B1" w:rsidP="00DA4B74">
            <w:pPr>
              <w:spacing w:before="120" w:after="120" w:line="240" w:lineRule="auto"/>
              <w:jc w:val="both"/>
              <w:rPr>
                <w:color w:val="000000"/>
                <w:sz w:val="22"/>
              </w:rPr>
            </w:pPr>
            <w:r w:rsidRPr="00DA4B74">
              <w:rPr>
                <w:color w:val="000000"/>
                <w:sz w:val="22"/>
              </w:rPr>
              <w:t>Balance to either Future Depreciation Reserve if externally funded or unappropriated surplus if internally funded</w:t>
            </w:r>
          </w:p>
        </w:tc>
      </w:tr>
    </w:tbl>
    <w:p w:rsidR="001578F2" w:rsidRPr="003C715F" w:rsidRDefault="003B090F" w:rsidP="00DA4B74">
      <w:pPr>
        <w:spacing w:before="120" w:after="120" w:line="240" w:lineRule="auto"/>
        <w:jc w:val="both"/>
        <w:rPr>
          <w:color w:val="000000"/>
          <w:sz w:val="22"/>
        </w:rPr>
      </w:pPr>
      <w:r w:rsidRPr="00DA4B74">
        <w:rPr>
          <w:color w:val="000000"/>
          <w:sz w:val="22"/>
        </w:rPr>
        <w:t>Once backlog depreciation has been calculated in the Fixed Assets Register, a transfer is made</w:t>
      </w:r>
      <w:r w:rsidR="001D130C" w:rsidRPr="00DA4B74">
        <w:rPr>
          <w:color w:val="000000"/>
          <w:sz w:val="22"/>
        </w:rPr>
        <w:t xml:space="preserve"> </w:t>
      </w:r>
      <w:r w:rsidRPr="00DA4B74">
        <w:rPr>
          <w:color w:val="000000"/>
          <w:sz w:val="22"/>
        </w:rPr>
        <w:t xml:space="preserve">from the Loans Redeemed and Other Capital Receipts </w:t>
      </w:r>
      <w:r w:rsidR="00C14390" w:rsidRPr="00DA4B74">
        <w:rPr>
          <w:color w:val="000000"/>
          <w:sz w:val="22"/>
        </w:rPr>
        <w:t xml:space="preserve">in order </w:t>
      </w:r>
      <w:r w:rsidRPr="00DA4B74">
        <w:rPr>
          <w:color w:val="000000"/>
          <w:sz w:val="22"/>
        </w:rPr>
        <w:t xml:space="preserve">to finance the backlog depreciation. </w:t>
      </w:r>
      <w:r w:rsidR="001D130C" w:rsidRPr="00DA4B74">
        <w:rPr>
          <w:color w:val="000000"/>
          <w:sz w:val="22"/>
        </w:rPr>
        <w:t xml:space="preserve"> </w:t>
      </w:r>
      <w:r w:rsidRPr="00DA4B74">
        <w:rPr>
          <w:color w:val="000000"/>
          <w:sz w:val="22"/>
        </w:rPr>
        <w:t>In</w:t>
      </w:r>
      <w:r w:rsidR="001D130C" w:rsidRPr="00DA4B74">
        <w:rPr>
          <w:color w:val="000000"/>
          <w:sz w:val="22"/>
        </w:rPr>
        <w:t xml:space="preserve"> </w:t>
      </w:r>
      <w:r w:rsidRPr="00DA4B74">
        <w:rPr>
          <w:color w:val="000000"/>
          <w:sz w:val="22"/>
        </w:rPr>
        <w:t>addition, a transfer is made to the relevant Future Depreciation Reserve in respect of the</w:t>
      </w:r>
      <w:r w:rsidR="001D130C" w:rsidRPr="00DA4B74">
        <w:rPr>
          <w:color w:val="000000"/>
          <w:sz w:val="22"/>
        </w:rPr>
        <w:t xml:space="preserve"> </w:t>
      </w:r>
      <w:r w:rsidRPr="00DA4B74">
        <w:rPr>
          <w:color w:val="000000"/>
          <w:sz w:val="22"/>
        </w:rPr>
        <w:t>carrying value/net book value of assets financed from government grants and public</w:t>
      </w:r>
      <w:r w:rsidR="001D130C" w:rsidRPr="00DA4B74">
        <w:rPr>
          <w:color w:val="000000"/>
          <w:sz w:val="22"/>
        </w:rPr>
        <w:t xml:space="preserve"> </w:t>
      </w:r>
      <w:r w:rsidRPr="00DA4B74">
        <w:rPr>
          <w:color w:val="000000"/>
          <w:sz w:val="22"/>
        </w:rPr>
        <w:t xml:space="preserve">contributions. </w:t>
      </w:r>
      <w:r w:rsidR="001D130C" w:rsidRPr="00DA4B74">
        <w:rPr>
          <w:color w:val="000000"/>
          <w:sz w:val="22"/>
        </w:rPr>
        <w:t xml:space="preserve"> </w:t>
      </w:r>
      <w:r w:rsidRPr="00DA4B74">
        <w:rPr>
          <w:color w:val="000000"/>
          <w:sz w:val="22"/>
        </w:rPr>
        <w:t>The residual value remaining in LROCR is then transferred to the unappropriated</w:t>
      </w:r>
      <w:r w:rsidR="001D130C" w:rsidRPr="00DA4B74">
        <w:rPr>
          <w:color w:val="000000"/>
          <w:sz w:val="22"/>
        </w:rPr>
        <w:t xml:space="preserve"> </w:t>
      </w:r>
      <w:r w:rsidRPr="00DA4B74">
        <w:rPr>
          <w:color w:val="000000"/>
          <w:sz w:val="22"/>
        </w:rPr>
        <w:t>surplus and essentially represents those items of property, plant and equipment that were</w:t>
      </w:r>
      <w:r w:rsidR="001D130C" w:rsidRPr="00DA4B74">
        <w:rPr>
          <w:color w:val="000000"/>
          <w:sz w:val="22"/>
        </w:rPr>
        <w:t xml:space="preserve"> </w:t>
      </w:r>
      <w:r w:rsidRPr="00DA4B74">
        <w:rPr>
          <w:color w:val="000000"/>
          <w:sz w:val="22"/>
        </w:rPr>
        <w:t>financed from revenue contributions and other previously permitted asset financing sources</w:t>
      </w:r>
      <w:r w:rsidR="00911620" w:rsidRPr="00DA4B74">
        <w:rPr>
          <w:color w:val="000000"/>
          <w:sz w:val="22"/>
        </w:rPr>
        <w:t>;</w:t>
      </w:r>
      <w:r w:rsidRPr="00DA4B74">
        <w:rPr>
          <w:color w:val="000000"/>
          <w:sz w:val="22"/>
        </w:rPr>
        <w:t xml:space="preserve"> or it</w:t>
      </w:r>
      <w:r w:rsidR="001D130C" w:rsidRPr="00DA4B74">
        <w:rPr>
          <w:color w:val="000000"/>
          <w:sz w:val="22"/>
        </w:rPr>
        <w:t xml:space="preserve"> </w:t>
      </w:r>
      <w:r w:rsidRPr="00DA4B74">
        <w:rPr>
          <w:color w:val="000000"/>
          <w:sz w:val="22"/>
        </w:rPr>
        <w:t>represents the redemption portion of external and internal loans included in expenditure where</w:t>
      </w:r>
      <w:r w:rsidR="001D130C" w:rsidRPr="00DA4B74">
        <w:rPr>
          <w:color w:val="000000"/>
          <w:sz w:val="22"/>
        </w:rPr>
        <w:t xml:space="preserve"> </w:t>
      </w:r>
      <w:r w:rsidRPr="00DA4B74">
        <w:rPr>
          <w:color w:val="000000"/>
          <w:sz w:val="22"/>
        </w:rPr>
        <w:t>loan payment periods are shorter than the economic life of the asset</w:t>
      </w:r>
      <w:r w:rsidR="001D130C" w:rsidRPr="00DA4B74">
        <w:rPr>
          <w:color w:val="000000"/>
          <w:sz w:val="22"/>
        </w:rPr>
        <w:t>.</w:t>
      </w:r>
    </w:p>
    <w:p w:rsidR="001D130C" w:rsidRPr="00DA4B74" w:rsidRDefault="003B090F" w:rsidP="00DA4B74">
      <w:pPr>
        <w:keepNext/>
        <w:jc w:val="both"/>
        <w:rPr>
          <w:b/>
          <w:bCs/>
          <w:color w:val="000000"/>
          <w:sz w:val="22"/>
        </w:rPr>
      </w:pPr>
      <w:r w:rsidRPr="00DA4B74">
        <w:rPr>
          <w:b/>
          <w:bCs/>
          <w:color w:val="000000"/>
          <w:sz w:val="22"/>
        </w:rPr>
        <w:t>Loan Redemption Funds</w:t>
      </w:r>
      <w:r w:rsidR="001D130C" w:rsidRPr="00DA4B74">
        <w:rPr>
          <w:b/>
          <w:bCs/>
          <w:color w:val="000000"/>
          <w:sz w:val="22"/>
        </w:rPr>
        <w:t xml:space="preserve">  </w:t>
      </w:r>
    </w:p>
    <w:p w:rsidR="001D130C" w:rsidRPr="00DA4B74" w:rsidRDefault="003B090F" w:rsidP="00DA4B74">
      <w:pPr>
        <w:keepNext/>
        <w:jc w:val="both"/>
        <w:rPr>
          <w:color w:val="000000"/>
          <w:sz w:val="22"/>
        </w:rPr>
      </w:pPr>
      <w:r w:rsidRPr="00DA4B74">
        <w:rPr>
          <w:color w:val="000000"/>
          <w:sz w:val="22"/>
        </w:rPr>
        <w:t>A Loan Redemption Fund (LRF) is mandatory in certain provinces and is used to accumulate</w:t>
      </w:r>
      <w:r w:rsidR="001D130C" w:rsidRPr="00DA4B74">
        <w:rPr>
          <w:color w:val="000000"/>
          <w:sz w:val="22"/>
        </w:rPr>
        <w:t xml:space="preserve"> </w:t>
      </w:r>
      <w:r w:rsidRPr="00DA4B74">
        <w:rPr>
          <w:color w:val="000000"/>
          <w:sz w:val="22"/>
        </w:rPr>
        <w:t>funds to repay loans on their due date. Municipalities contribute to the fund from the income</w:t>
      </w:r>
      <w:r w:rsidR="001D130C" w:rsidRPr="00DA4B74">
        <w:rPr>
          <w:color w:val="000000"/>
          <w:sz w:val="22"/>
        </w:rPr>
        <w:t xml:space="preserve"> </w:t>
      </w:r>
      <w:r w:rsidRPr="00DA4B74">
        <w:rPr>
          <w:color w:val="000000"/>
          <w:sz w:val="22"/>
        </w:rPr>
        <w:t>statement annually. The LRF always has to be cash-backed.</w:t>
      </w:r>
      <w:r w:rsidR="001D130C" w:rsidRPr="00DA4B74">
        <w:rPr>
          <w:color w:val="000000"/>
          <w:sz w:val="22"/>
        </w:rPr>
        <w:t xml:space="preserve">  </w:t>
      </w:r>
      <w:r w:rsidRPr="00DA4B74">
        <w:rPr>
          <w:color w:val="000000"/>
          <w:sz w:val="22"/>
        </w:rPr>
        <w:t>When GAMAP is implemented, the LRF has to be unbundled, as it cannot be retained.</w:t>
      </w:r>
      <w:r w:rsidR="001D130C" w:rsidRPr="00DA4B74">
        <w:rPr>
          <w:color w:val="000000"/>
          <w:sz w:val="22"/>
        </w:rPr>
        <w:t xml:space="preserve"> </w:t>
      </w:r>
      <w:r w:rsidRPr="00DA4B74">
        <w:rPr>
          <w:color w:val="000000"/>
          <w:sz w:val="22"/>
        </w:rPr>
        <w:t xml:space="preserve"> The</w:t>
      </w:r>
      <w:r w:rsidR="001D130C" w:rsidRPr="00DA4B74">
        <w:rPr>
          <w:color w:val="000000"/>
          <w:sz w:val="22"/>
        </w:rPr>
        <w:t xml:space="preserve"> </w:t>
      </w:r>
      <w:r w:rsidRPr="00DA4B74">
        <w:rPr>
          <w:color w:val="000000"/>
          <w:sz w:val="22"/>
        </w:rPr>
        <w:t xml:space="preserve">amount in the LRF relates to a loan, which in turn can be linked to an asset. </w:t>
      </w:r>
      <w:r w:rsidR="001D130C" w:rsidRPr="00DA4B74">
        <w:rPr>
          <w:color w:val="000000"/>
          <w:sz w:val="22"/>
        </w:rPr>
        <w:t xml:space="preserve"> </w:t>
      </w:r>
      <w:r w:rsidRPr="00DA4B74">
        <w:rPr>
          <w:color w:val="000000"/>
          <w:sz w:val="22"/>
        </w:rPr>
        <w:t>When external</w:t>
      </w:r>
      <w:r w:rsidR="001D130C" w:rsidRPr="00DA4B74">
        <w:rPr>
          <w:color w:val="000000"/>
          <w:sz w:val="22"/>
        </w:rPr>
        <w:t xml:space="preserve"> </w:t>
      </w:r>
      <w:r w:rsidRPr="00DA4B74">
        <w:rPr>
          <w:color w:val="000000"/>
          <w:sz w:val="22"/>
        </w:rPr>
        <w:t>loans are matched to assets and backlog depreciation is calculated, there will be no amount in</w:t>
      </w:r>
      <w:r w:rsidR="001D130C" w:rsidRPr="00DA4B74">
        <w:rPr>
          <w:color w:val="000000"/>
          <w:sz w:val="22"/>
        </w:rPr>
        <w:t xml:space="preserve"> </w:t>
      </w:r>
      <w:r w:rsidRPr="00DA4B74">
        <w:rPr>
          <w:color w:val="000000"/>
          <w:sz w:val="22"/>
        </w:rPr>
        <w:t>loans redeemed (where there is an LRF). Instead, backlog depreciation will have to be funded</w:t>
      </w:r>
      <w:r w:rsidR="001D130C" w:rsidRPr="00DA4B74">
        <w:rPr>
          <w:color w:val="000000"/>
          <w:sz w:val="22"/>
        </w:rPr>
        <w:t xml:space="preserve"> </w:t>
      </w:r>
      <w:r w:rsidRPr="00DA4B74">
        <w:rPr>
          <w:color w:val="000000"/>
          <w:sz w:val="22"/>
        </w:rPr>
        <w:t>from the accumulations in the LRF.</w:t>
      </w:r>
    </w:p>
    <w:p w:rsidR="001D130C" w:rsidRPr="00DA4B74" w:rsidRDefault="003B090F" w:rsidP="00DA4B74">
      <w:pPr>
        <w:tabs>
          <w:tab w:val="left" w:pos="10649"/>
        </w:tabs>
        <w:jc w:val="both"/>
        <w:rPr>
          <w:color w:val="000000"/>
          <w:sz w:val="22"/>
        </w:rPr>
      </w:pPr>
      <w:r w:rsidRPr="00DA4B74">
        <w:rPr>
          <w:color w:val="000000"/>
          <w:sz w:val="22"/>
        </w:rPr>
        <w:t>In practice, instead of debiting Loans Redeemed and Other Capital Receipts to recover backlog</w:t>
      </w:r>
      <w:r w:rsidR="001D130C" w:rsidRPr="00DA4B74">
        <w:rPr>
          <w:color w:val="000000"/>
          <w:sz w:val="22"/>
        </w:rPr>
        <w:t xml:space="preserve"> </w:t>
      </w:r>
      <w:r w:rsidRPr="00DA4B74">
        <w:rPr>
          <w:color w:val="000000"/>
          <w:sz w:val="22"/>
        </w:rPr>
        <w:t>depreciation, the debit will be processed to the LRF.</w:t>
      </w:r>
    </w:p>
    <w:p w:rsidR="001D130C" w:rsidRPr="00DA4B74" w:rsidRDefault="003B090F" w:rsidP="00DA4B74">
      <w:pPr>
        <w:tabs>
          <w:tab w:val="left" w:pos="10649"/>
        </w:tabs>
        <w:jc w:val="both"/>
        <w:rPr>
          <w:b/>
          <w:bCs/>
          <w:color w:val="000000"/>
          <w:sz w:val="22"/>
        </w:rPr>
      </w:pPr>
      <w:r w:rsidRPr="00DA4B74">
        <w:rPr>
          <w:b/>
          <w:bCs/>
          <w:color w:val="000000"/>
          <w:sz w:val="22"/>
        </w:rPr>
        <w:t>Conclusion</w:t>
      </w:r>
      <w:r w:rsidR="001D130C" w:rsidRPr="00DA4B74">
        <w:rPr>
          <w:b/>
          <w:bCs/>
          <w:color w:val="000000"/>
          <w:sz w:val="22"/>
        </w:rPr>
        <w:t xml:space="preserve">  </w:t>
      </w:r>
    </w:p>
    <w:p w:rsidR="003B090F" w:rsidRPr="003C715F" w:rsidRDefault="003B090F" w:rsidP="00DA4B74">
      <w:pPr>
        <w:tabs>
          <w:tab w:val="left" w:pos="10649"/>
        </w:tabs>
        <w:jc w:val="both"/>
        <w:rPr>
          <w:color w:val="000000"/>
          <w:sz w:val="22"/>
        </w:rPr>
      </w:pPr>
      <w:r w:rsidRPr="00DA4B74">
        <w:rPr>
          <w:color w:val="000000"/>
          <w:sz w:val="22"/>
        </w:rPr>
        <w:t>Once the financing information has been obtained and recorded in the Fixed Assets Register, it</w:t>
      </w:r>
      <w:r w:rsidR="001D130C" w:rsidRPr="00DA4B74">
        <w:rPr>
          <w:color w:val="000000"/>
          <w:sz w:val="22"/>
        </w:rPr>
        <w:t xml:space="preserve"> </w:t>
      </w:r>
      <w:r w:rsidRPr="00DA4B74">
        <w:rPr>
          <w:color w:val="000000"/>
          <w:sz w:val="22"/>
        </w:rPr>
        <w:t>is possible to unbundle Loans Redeemed and Other Capital Receipts as illustrated in the</w:t>
      </w:r>
      <w:r w:rsidR="001D130C" w:rsidRPr="00DA4B74">
        <w:rPr>
          <w:color w:val="000000"/>
          <w:sz w:val="22"/>
        </w:rPr>
        <w:t xml:space="preserve"> </w:t>
      </w:r>
      <w:r w:rsidRPr="00DA4B74">
        <w:rPr>
          <w:color w:val="000000"/>
          <w:sz w:val="22"/>
        </w:rPr>
        <w:t>examples above</w:t>
      </w:r>
      <w:r w:rsidR="001D130C" w:rsidRPr="00DA4B74">
        <w:rPr>
          <w:color w:val="000000"/>
          <w:sz w:val="22"/>
        </w:rPr>
        <w:t>.</w:t>
      </w:r>
    </w:p>
    <w:p w:rsidR="00DA611B" w:rsidRPr="003C715F" w:rsidRDefault="00DA611B" w:rsidP="00DA4B74">
      <w:pPr>
        <w:tabs>
          <w:tab w:val="left" w:pos="10649"/>
        </w:tabs>
        <w:jc w:val="both"/>
        <w:rPr>
          <w:color w:val="000000"/>
          <w:szCs w:val="26"/>
        </w:rPr>
        <w:sectPr w:rsidR="00DA611B" w:rsidRPr="003C715F" w:rsidSect="001205FA">
          <w:footerReference w:type="default" r:id="rId11"/>
          <w:pgSz w:w="16838" w:h="11906" w:orient="landscape"/>
          <w:pgMar w:top="1440" w:right="1440" w:bottom="1440" w:left="1440" w:header="708" w:footer="708" w:gutter="0"/>
          <w:cols w:space="708"/>
          <w:docGrid w:linePitch="360"/>
        </w:sectPr>
      </w:pPr>
    </w:p>
    <w:p w:rsidR="00DA611B" w:rsidRPr="00695A56" w:rsidRDefault="00DA611B" w:rsidP="00695A56">
      <w:pPr>
        <w:pStyle w:val="Heading2"/>
        <w:spacing w:before="200" w:after="0" w:line="276" w:lineRule="auto"/>
        <w:rPr>
          <w:rFonts w:ascii="Arial" w:hAnsi="Arial" w:cs="Arial"/>
          <w:color w:val="auto"/>
          <w:sz w:val="24"/>
          <w:szCs w:val="24"/>
        </w:rPr>
      </w:pPr>
      <w:bookmarkStart w:id="25" w:name="_Ref456881129"/>
      <w:bookmarkStart w:id="26" w:name="_Ref456983619"/>
      <w:bookmarkStart w:id="27" w:name="_Toc466034846"/>
      <w:r w:rsidRPr="00695A56">
        <w:rPr>
          <w:rFonts w:ascii="Arial" w:hAnsi="Arial" w:cs="Arial"/>
          <w:color w:val="auto"/>
          <w:sz w:val="24"/>
          <w:szCs w:val="24"/>
        </w:rPr>
        <w:t>ANNEXURE C –</w:t>
      </w:r>
      <w:r w:rsidR="004F29D9" w:rsidRPr="00695A56">
        <w:rPr>
          <w:rFonts w:ascii="Arial" w:hAnsi="Arial" w:cs="Arial"/>
          <w:color w:val="auto"/>
          <w:sz w:val="24"/>
          <w:szCs w:val="24"/>
        </w:rPr>
        <w:t xml:space="preserve"> </w:t>
      </w:r>
      <w:r w:rsidRPr="00695A56">
        <w:rPr>
          <w:rFonts w:ascii="Arial" w:hAnsi="Arial" w:cs="Arial"/>
          <w:color w:val="auto"/>
          <w:sz w:val="24"/>
          <w:szCs w:val="24"/>
        </w:rPr>
        <w:t xml:space="preserve">GUIDELINES FOR THE IMPLEMENTATION OF ACCOUNTING STANDARDS OF GENERALLY RECOGNISED ACCOUNTING PRACTICE </w:t>
      </w:r>
      <w:r w:rsidR="00DC0460" w:rsidRPr="00695A56">
        <w:rPr>
          <w:rFonts w:ascii="Arial" w:hAnsi="Arial" w:cs="Arial"/>
          <w:color w:val="auto"/>
          <w:sz w:val="24"/>
          <w:szCs w:val="24"/>
        </w:rPr>
        <w:t>ISSUED</w:t>
      </w:r>
      <w:r w:rsidRPr="00695A56">
        <w:rPr>
          <w:rFonts w:ascii="Arial" w:hAnsi="Arial" w:cs="Arial"/>
          <w:color w:val="auto"/>
          <w:sz w:val="24"/>
          <w:szCs w:val="24"/>
        </w:rPr>
        <w:t xml:space="preserve"> WITH MFMA CIRCULAR 18</w:t>
      </w:r>
      <w:bookmarkEnd w:id="25"/>
      <w:r w:rsidR="004F29D9" w:rsidRPr="00695A56">
        <w:rPr>
          <w:rFonts w:ascii="Arial" w:hAnsi="Arial" w:cs="Arial"/>
          <w:color w:val="auto"/>
          <w:sz w:val="24"/>
          <w:szCs w:val="24"/>
        </w:rPr>
        <w:t xml:space="preserve"> (JUNE 2005)</w:t>
      </w:r>
      <w:bookmarkEnd w:id="26"/>
      <w:bookmarkEnd w:id="27"/>
    </w:p>
    <w:p w:rsidR="00DA611B" w:rsidRPr="00695A56" w:rsidRDefault="00C132F2" w:rsidP="00695A56">
      <w:pPr>
        <w:pStyle w:val="Heading3"/>
        <w:rPr>
          <w:rFonts w:ascii="Arial" w:hAnsi="Arial" w:cs="Arial"/>
          <w:color w:val="auto"/>
          <w:sz w:val="20"/>
          <w:szCs w:val="20"/>
        </w:rPr>
      </w:pPr>
      <w:bookmarkStart w:id="28" w:name="_Toc466034847"/>
      <w:r w:rsidRPr="00695A56">
        <w:rPr>
          <w:rFonts w:ascii="Arial" w:hAnsi="Arial" w:cs="Arial"/>
          <w:color w:val="auto"/>
          <w:sz w:val="20"/>
          <w:szCs w:val="20"/>
        </w:rPr>
        <w:t>Process to establish the Capital Replacement Reserve, the Capitalisation Reserve and the External Financing Fund</w:t>
      </w:r>
      <w:bookmarkEnd w:id="28"/>
    </w:p>
    <w:p w:rsidR="00C132F2" w:rsidRPr="00DA4B74" w:rsidRDefault="0007733C" w:rsidP="00DA4B74">
      <w:pPr>
        <w:tabs>
          <w:tab w:val="left" w:pos="10649"/>
        </w:tabs>
        <w:spacing w:before="120" w:after="120" w:line="240" w:lineRule="auto"/>
        <w:jc w:val="both"/>
        <w:rPr>
          <w:b/>
          <w:bCs/>
          <w:color w:val="000000"/>
          <w:sz w:val="22"/>
        </w:rPr>
      </w:pPr>
      <w:r w:rsidRPr="00DA4B74">
        <w:rPr>
          <w:b/>
          <w:bCs/>
          <w:color w:val="000000"/>
          <w:sz w:val="22"/>
        </w:rPr>
        <w:t>Principles behind the establishment of the capital replacement reserve</w:t>
      </w:r>
      <w:r w:rsidR="00C132F2" w:rsidRPr="00DA4B74">
        <w:rPr>
          <w:b/>
          <w:bCs/>
          <w:color w:val="000000"/>
          <w:sz w:val="22"/>
        </w:rPr>
        <w:t xml:space="preserve"> </w:t>
      </w:r>
    </w:p>
    <w:p w:rsidR="00C132F2" w:rsidRPr="00DA4B74" w:rsidRDefault="0007733C" w:rsidP="00DA4B74">
      <w:pPr>
        <w:tabs>
          <w:tab w:val="left" w:pos="10649"/>
        </w:tabs>
        <w:jc w:val="both"/>
        <w:rPr>
          <w:color w:val="000000"/>
          <w:sz w:val="22"/>
        </w:rPr>
      </w:pPr>
      <w:r w:rsidRPr="00DA4B74">
        <w:rPr>
          <w:color w:val="000000"/>
          <w:sz w:val="22"/>
        </w:rPr>
        <w:t>The principles of establishing the Capital Replacement Reserve (CRR) is that all existing</w:t>
      </w:r>
      <w:r w:rsidR="00C132F2" w:rsidRPr="00DA4B74">
        <w:rPr>
          <w:color w:val="000000"/>
          <w:sz w:val="22"/>
        </w:rPr>
        <w:t xml:space="preserve"> </w:t>
      </w:r>
      <w:r w:rsidRPr="00DA4B74">
        <w:rPr>
          <w:color w:val="000000"/>
          <w:sz w:val="22"/>
        </w:rPr>
        <w:t>funds established in terms of the Provincial Ordinances be consolidated into one reserve,</w:t>
      </w:r>
      <w:r w:rsidR="00C132F2" w:rsidRPr="00DA4B74">
        <w:rPr>
          <w:color w:val="000000"/>
          <w:sz w:val="22"/>
        </w:rPr>
        <w:t xml:space="preserve"> </w:t>
      </w:r>
      <w:r w:rsidRPr="00DA4B74">
        <w:rPr>
          <w:color w:val="000000"/>
          <w:sz w:val="22"/>
        </w:rPr>
        <w:t>which will be called the CRR.</w:t>
      </w:r>
      <w:r w:rsidR="00C132F2" w:rsidRPr="00DA4B74">
        <w:rPr>
          <w:color w:val="000000"/>
          <w:sz w:val="22"/>
        </w:rPr>
        <w:t xml:space="preserve"> </w:t>
      </w:r>
      <w:r w:rsidRPr="00DA4B74">
        <w:rPr>
          <w:color w:val="000000"/>
          <w:sz w:val="22"/>
        </w:rPr>
        <w:t xml:space="preserve"> The CRR is equivalent to a savings account and has only one</w:t>
      </w:r>
      <w:r w:rsidR="00C132F2" w:rsidRPr="00DA4B74">
        <w:rPr>
          <w:color w:val="000000"/>
          <w:sz w:val="22"/>
        </w:rPr>
        <w:t xml:space="preserve"> </w:t>
      </w:r>
      <w:r w:rsidRPr="00DA4B74">
        <w:rPr>
          <w:color w:val="000000"/>
          <w:sz w:val="22"/>
        </w:rPr>
        <w:t>asset, namely a dedicated bank or investment account.</w:t>
      </w:r>
      <w:r w:rsidR="00C132F2" w:rsidRPr="00DA4B74">
        <w:rPr>
          <w:color w:val="000000"/>
          <w:sz w:val="22"/>
        </w:rPr>
        <w:t xml:space="preserve"> </w:t>
      </w:r>
    </w:p>
    <w:p w:rsidR="00C132F2" w:rsidRPr="00DA4B74" w:rsidRDefault="004B7F14" w:rsidP="00DA4B74">
      <w:pPr>
        <w:tabs>
          <w:tab w:val="left" w:pos="10649"/>
        </w:tabs>
        <w:jc w:val="both"/>
        <w:rPr>
          <w:color w:val="000000"/>
          <w:sz w:val="22"/>
        </w:rPr>
      </w:pPr>
      <w:r w:rsidRPr="00DA4B74">
        <w:rPr>
          <w:color w:val="000000"/>
          <w:sz w:val="22"/>
        </w:rPr>
        <w:t>Upon the implementation of the standards m</w:t>
      </w:r>
      <w:r w:rsidR="0007733C" w:rsidRPr="00DA4B74">
        <w:rPr>
          <w:color w:val="000000"/>
          <w:sz w:val="22"/>
        </w:rPr>
        <w:t>unicipalities must firstly establish a CRR. Once a</w:t>
      </w:r>
      <w:r w:rsidR="00C132F2" w:rsidRPr="00DA4B74">
        <w:rPr>
          <w:color w:val="000000"/>
          <w:sz w:val="22"/>
        </w:rPr>
        <w:t xml:space="preserve"> </w:t>
      </w:r>
      <w:r w:rsidR="0007733C" w:rsidRPr="00DA4B74">
        <w:rPr>
          <w:color w:val="000000"/>
          <w:sz w:val="22"/>
        </w:rPr>
        <w:t>draft CRR has been established, adjustments are made for internal loans or advances that</w:t>
      </w:r>
      <w:r w:rsidR="00C132F2" w:rsidRPr="00DA4B74">
        <w:rPr>
          <w:color w:val="000000"/>
          <w:sz w:val="22"/>
        </w:rPr>
        <w:t xml:space="preserve"> </w:t>
      </w:r>
      <w:r w:rsidR="0007733C" w:rsidRPr="00DA4B74">
        <w:rPr>
          <w:color w:val="000000"/>
          <w:sz w:val="22"/>
        </w:rPr>
        <w:t>are still outstanding at the date of implementation and the residual balance is then compared to cash or investments attributable to the CRR.</w:t>
      </w:r>
      <w:r w:rsidR="00C132F2" w:rsidRPr="00DA4B74">
        <w:rPr>
          <w:color w:val="000000"/>
          <w:sz w:val="22"/>
        </w:rPr>
        <w:t xml:space="preserve">  </w:t>
      </w:r>
    </w:p>
    <w:p w:rsidR="00C132F2" w:rsidRPr="00DA4B74" w:rsidRDefault="0007733C" w:rsidP="00DA4B74">
      <w:pPr>
        <w:tabs>
          <w:tab w:val="left" w:pos="10649"/>
        </w:tabs>
        <w:jc w:val="both"/>
        <w:rPr>
          <w:color w:val="000000"/>
          <w:sz w:val="22"/>
        </w:rPr>
      </w:pPr>
      <w:r w:rsidRPr="00DA4B74">
        <w:rPr>
          <w:color w:val="000000"/>
          <w:sz w:val="22"/>
        </w:rPr>
        <w:t>Where there is insufficient cash or investments, then the balance of the CRR is written down</w:t>
      </w:r>
      <w:r w:rsidR="00C132F2" w:rsidRPr="00DA4B74">
        <w:rPr>
          <w:color w:val="000000"/>
          <w:sz w:val="22"/>
        </w:rPr>
        <w:t xml:space="preserve"> </w:t>
      </w:r>
      <w:r w:rsidRPr="00DA4B74">
        <w:rPr>
          <w:color w:val="000000"/>
          <w:sz w:val="22"/>
        </w:rPr>
        <w:t>to the balance of cash or investments through the accumulated surplus/ deficit in the</w:t>
      </w:r>
      <w:r w:rsidR="00C132F2" w:rsidRPr="00DA4B74">
        <w:rPr>
          <w:color w:val="000000"/>
          <w:sz w:val="22"/>
        </w:rPr>
        <w:t xml:space="preserve"> </w:t>
      </w:r>
      <w:r w:rsidRPr="00DA4B74">
        <w:rPr>
          <w:color w:val="000000"/>
          <w:sz w:val="22"/>
        </w:rPr>
        <w:t>Statement of Changes in Net Assets.</w:t>
      </w:r>
    </w:p>
    <w:p w:rsidR="00C132F2" w:rsidRPr="00DA4B74" w:rsidRDefault="0007733C" w:rsidP="00DA4B74">
      <w:pPr>
        <w:tabs>
          <w:tab w:val="left" w:pos="10649"/>
        </w:tabs>
        <w:jc w:val="both"/>
        <w:rPr>
          <w:color w:val="000000"/>
          <w:sz w:val="22"/>
        </w:rPr>
      </w:pPr>
      <w:r w:rsidRPr="00DA4B74">
        <w:rPr>
          <w:color w:val="000000"/>
          <w:sz w:val="22"/>
        </w:rPr>
        <w:t>The CRR can be subsequently increased by transferring amounts from the accumulated</w:t>
      </w:r>
      <w:r w:rsidR="00C132F2" w:rsidRPr="00DA4B74">
        <w:rPr>
          <w:color w:val="000000"/>
          <w:sz w:val="22"/>
        </w:rPr>
        <w:t xml:space="preserve"> </w:t>
      </w:r>
      <w:r w:rsidRPr="00DA4B74">
        <w:rPr>
          <w:color w:val="000000"/>
          <w:sz w:val="22"/>
        </w:rPr>
        <w:t>surplus to the CRR through the Statement of Changes in Net Assets. There are no</w:t>
      </w:r>
      <w:r w:rsidR="00C132F2" w:rsidRPr="00DA4B74">
        <w:rPr>
          <w:color w:val="000000"/>
          <w:sz w:val="22"/>
        </w:rPr>
        <w:t xml:space="preserve"> </w:t>
      </w:r>
      <w:r w:rsidRPr="00DA4B74">
        <w:rPr>
          <w:color w:val="000000"/>
          <w:sz w:val="22"/>
        </w:rPr>
        <w:t>restrictions on the amount that can be transferred except that there must be sufficient cash or</w:t>
      </w:r>
      <w:r w:rsidR="00C132F2" w:rsidRPr="00DA4B74">
        <w:rPr>
          <w:color w:val="000000"/>
          <w:sz w:val="22"/>
        </w:rPr>
        <w:t xml:space="preserve"> </w:t>
      </w:r>
      <w:r w:rsidRPr="00DA4B74">
        <w:rPr>
          <w:color w:val="000000"/>
          <w:sz w:val="22"/>
        </w:rPr>
        <w:t>investments to support the increased balance of the CRR.</w:t>
      </w:r>
    </w:p>
    <w:p w:rsidR="00C132F2" w:rsidRPr="003C715F" w:rsidRDefault="0007733C" w:rsidP="00DA4B74">
      <w:pPr>
        <w:tabs>
          <w:tab w:val="left" w:pos="10649"/>
        </w:tabs>
        <w:jc w:val="both"/>
        <w:rPr>
          <w:color w:val="000000"/>
          <w:sz w:val="22"/>
        </w:rPr>
      </w:pPr>
      <w:r w:rsidRPr="00DA4B74">
        <w:rPr>
          <w:color w:val="000000"/>
          <w:sz w:val="22"/>
        </w:rPr>
        <w:t>It should be noted that those municipalities that have a significant CRR would be in a better</w:t>
      </w:r>
      <w:r w:rsidR="00C132F2" w:rsidRPr="00DA4B74">
        <w:rPr>
          <w:color w:val="000000"/>
          <w:sz w:val="22"/>
        </w:rPr>
        <w:t xml:space="preserve"> </w:t>
      </w:r>
      <w:r w:rsidRPr="00DA4B74">
        <w:rPr>
          <w:color w:val="000000"/>
          <w:sz w:val="22"/>
        </w:rPr>
        <w:t xml:space="preserve">position to finance development. </w:t>
      </w:r>
      <w:r w:rsidR="00C132F2" w:rsidRPr="00DA4B74">
        <w:rPr>
          <w:color w:val="000000"/>
          <w:sz w:val="22"/>
        </w:rPr>
        <w:t xml:space="preserve"> </w:t>
      </w:r>
      <w:r w:rsidRPr="00DA4B74">
        <w:rPr>
          <w:color w:val="000000"/>
          <w:sz w:val="22"/>
        </w:rPr>
        <w:t>Those municipalities that have cash-flow challenges will not</w:t>
      </w:r>
      <w:r w:rsidR="00C132F2" w:rsidRPr="00DA4B74">
        <w:rPr>
          <w:color w:val="000000"/>
          <w:sz w:val="22"/>
        </w:rPr>
        <w:t xml:space="preserve"> </w:t>
      </w:r>
      <w:r w:rsidRPr="00DA4B74">
        <w:rPr>
          <w:color w:val="000000"/>
          <w:sz w:val="22"/>
        </w:rPr>
        <w:t>be able to have a CRR.</w:t>
      </w:r>
    </w:p>
    <w:p w:rsidR="00C132F2" w:rsidRPr="00DA4B74" w:rsidRDefault="0007733C" w:rsidP="00DA4B74">
      <w:pPr>
        <w:tabs>
          <w:tab w:val="left" w:pos="10649"/>
        </w:tabs>
        <w:jc w:val="both"/>
        <w:rPr>
          <w:b/>
          <w:bCs/>
          <w:color w:val="000000"/>
          <w:sz w:val="22"/>
        </w:rPr>
      </w:pPr>
      <w:r w:rsidRPr="00DA4B74">
        <w:rPr>
          <w:b/>
          <w:bCs/>
          <w:color w:val="000000"/>
          <w:sz w:val="22"/>
        </w:rPr>
        <w:t>The capitalisation reserve</w:t>
      </w:r>
    </w:p>
    <w:p w:rsidR="00C132F2" w:rsidRPr="00DA4B74" w:rsidRDefault="0007733C" w:rsidP="00DA4B74">
      <w:pPr>
        <w:tabs>
          <w:tab w:val="left" w:pos="10649"/>
        </w:tabs>
        <w:jc w:val="both"/>
        <w:rPr>
          <w:color w:val="000000"/>
          <w:sz w:val="22"/>
        </w:rPr>
      </w:pPr>
      <w:r w:rsidRPr="00DA4B74">
        <w:rPr>
          <w:color w:val="000000"/>
          <w:sz w:val="22"/>
        </w:rPr>
        <w:t>It is important to understand the concept of the Capitalisation Reserve before establishing</w:t>
      </w:r>
      <w:r w:rsidR="00C132F2" w:rsidRPr="00DA4B74">
        <w:rPr>
          <w:color w:val="000000"/>
          <w:sz w:val="22"/>
        </w:rPr>
        <w:t xml:space="preserve"> </w:t>
      </w:r>
      <w:r w:rsidRPr="00DA4B74">
        <w:rPr>
          <w:color w:val="000000"/>
          <w:sz w:val="22"/>
        </w:rPr>
        <w:t>the CRR.</w:t>
      </w:r>
      <w:r w:rsidR="00C132F2" w:rsidRPr="00DA4B74">
        <w:rPr>
          <w:color w:val="000000"/>
          <w:sz w:val="22"/>
        </w:rPr>
        <w:t xml:space="preserve"> </w:t>
      </w:r>
      <w:r w:rsidRPr="00DA4B74">
        <w:rPr>
          <w:color w:val="000000"/>
          <w:sz w:val="22"/>
        </w:rPr>
        <w:t xml:space="preserve"> The reason is that the various statutory funds that were created in terms of the</w:t>
      </w:r>
      <w:r w:rsidR="00C132F2" w:rsidRPr="00DA4B74">
        <w:rPr>
          <w:color w:val="000000"/>
          <w:sz w:val="22"/>
        </w:rPr>
        <w:t xml:space="preserve"> </w:t>
      </w:r>
      <w:r w:rsidRPr="00DA4B74">
        <w:rPr>
          <w:color w:val="000000"/>
          <w:sz w:val="22"/>
        </w:rPr>
        <w:t>Ordinances were permitted to make internal loans or advances to the various services such</w:t>
      </w:r>
      <w:r w:rsidR="00C132F2" w:rsidRPr="00DA4B74">
        <w:rPr>
          <w:color w:val="000000"/>
          <w:sz w:val="22"/>
        </w:rPr>
        <w:t xml:space="preserve"> </w:t>
      </w:r>
      <w:r w:rsidRPr="00DA4B74">
        <w:rPr>
          <w:color w:val="000000"/>
          <w:sz w:val="22"/>
        </w:rPr>
        <w:t>as Electricity</w:t>
      </w:r>
      <w:r w:rsidR="00C14390" w:rsidRPr="00DA4B74">
        <w:rPr>
          <w:color w:val="000000"/>
          <w:sz w:val="22"/>
        </w:rPr>
        <w:t>;</w:t>
      </w:r>
      <w:r w:rsidRPr="00DA4B74">
        <w:rPr>
          <w:color w:val="000000"/>
          <w:sz w:val="22"/>
        </w:rPr>
        <w:t xml:space="preserve"> Water and Rate</w:t>
      </w:r>
      <w:r w:rsidR="00E723F4" w:rsidRPr="00DA4B74">
        <w:rPr>
          <w:color w:val="000000"/>
          <w:sz w:val="22"/>
        </w:rPr>
        <w:t>s</w:t>
      </w:r>
      <w:r w:rsidR="00C14390" w:rsidRPr="00DA4B74">
        <w:rPr>
          <w:color w:val="000000"/>
          <w:sz w:val="22"/>
        </w:rPr>
        <w:t>;</w:t>
      </w:r>
      <w:r w:rsidRPr="00DA4B74">
        <w:rPr>
          <w:color w:val="000000"/>
          <w:sz w:val="22"/>
        </w:rPr>
        <w:t xml:space="preserve"> and</w:t>
      </w:r>
      <w:r w:rsidR="00C14390" w:rsidRPr="00DA4B74">
        <w:rPr>
          <w:color w:val="000000"/>
          <w:sz w:val="22"/>
        </w:rPr>
        <w:t>,</w:t>
      </w:r>
      <w:r w:rsidRPr="00DA4B74">
        <w:rPr>
          <w:color w:val="000000"/>
          <w:sz w:val="22"/>
        </w:rPr>
        <w:t xml:space="preserve"> General Services. </w:t>
      </w:r>
      <w:r w:rsidR="00C132F2" w:rsidRPr="00DA4B74">
        <w:rPr>
          <w:color w:val="000000"/>
          <w:sz w:val="22"/>
        </w:rPr>
        <w:t xml:space="preserve"> </w:t>
      </w:r>
      <w:r w:rsidRPr="00DA4B74">
        <w:rPr>
          <w:color w:val="000000"/>
          <w:sz w:val="22"/>
        </w:rPr>
        <w:t>These internal loans were</w:t>
      </w:r>
      <w:r w:rsidR="00C132F2" w:rsidRPr="00DA4B74">
        <w:rPr>
          <w:color w:val="000000"/>
          <w:sz w:val="22"/>
        </w:rPr>
        <w:t xml:space="preserve"> </w:t>
      </w:r>
      <w:r w:rsidRPr="00DA4B74">
        <w:rPr>
          <w:color w:val="000000"/>
          <w:sz w:val="22"/>
        </w:rPr>
        <w:t xml:space="preserve">repayable and interest was charged on these loans. </w:t>
      </w:r>
      <w:r w:rsidR="00C132F2" w:rsidRPr="00DA4B74">
        <w:rPr>
          <w:color w:val="000000"/>
          <w:sz w:val="22"/>
        </w:rPr>
        <w:t xml:space="preserve"> </w:t>
      </w:r>
      <w:r w:rsidRPr="00DA4B74">
        <w:rPr>
          <w:color w:val="000000"/>
          <w:sz w:val="22"/>
        </w:rPr>
        <w:t>When establishing the CRR, which is</w:t>
      </w:r>
      <w:r w:rsidR="00C132F2" w:rsidRPr="00DA4B74">
        <w:rPr>
          <w:color w:val="000000"/>
          <w:sz w:val="22"/>
        </w:rPr>
        <w:t xml:space="preserve"> </w:t>
      </w:r>
      <w:r w:rsidRPr="00DA4B74">
        <w:rPr>
          <w:color w:val="000000"/>
          <w:sz w:val="22"/>
        </w:rPr>
        <w:t>the amalgamation of the existing statutory funds, internal loans will represent a part of the</w:t>
      </w:r>
      <w:r w:rsidR="00C132F2" w:rsidRPr="00DA4B74">
        <w:rPr>
          <w:color w:val="000000"/>
          <w:sz w:val="22"/>
        </w:rPr>
        <w:t xml:space="preserve"> </w:t>
      </w:r>
      <w:r w:rsidRPr="00DA4B74">
        <w:rPr>
          <w:color w:val="000000"/>
          <w:sz w:val="22"/>
        </w:rPr>
        <w:t>assets of the CRR.</w:t>
      </w:r>
    </w:p>
    <w:p w:rsidR="00C132F2" w:rsidRPr="00DA4B74" w:rsidRDefault="0007733C" w:rsidP="00DA4B74">
      <w:pPr>
        <w:tabs>
          <w:tab w:val="left" w:pos="10649"/>
        </w:tabs>
        <w:jc w:val="both"/>
        <w:rPr>
          <w:color w:val="000000"/>
          <w:sz w:val="22"/>
        </w:rPr>
      </w:pPr>
      <w:r w:rsidRPr="00DA4B74">
        <w:rPr>
          <w:color w:val="000000"/>
          <w:sz w:val="22"/>
        </w:rPr>
        <w:t>The carrying value of property, plant and equipment financed by internal loans will have to be</w:t>
      </w:r>
      <w:r w:rsidR="00C132F2" w:rsidRPr="00DA4B74">
        <w:rPr>
          <w:color w:val="000000"/>
          <w:sz w:val="22"/>
        </w:rPr>
        <w:t xml:space="preserve"> </w:t>
      </w:r>
      <w:r w:rsidRPr="00DA4B74">
        <w:rPr>
          <w:color w:val="000000"/>
          <w:sz w:val="22"/>
        </w:rPr>
        <w:t>compared to the balance of the internal loans outstanding at the date of the implementation</w:t>
      </w:r>
      <w:r w:rsidR="00C132F2" w:rsidRPr="00DA4B74">
        <w:rPr>
          <w:color w:val="000000"/>
          <w:sz w:val="22"/>
        </w:rPr>
        <w:t xml:space="preserve"> </w:t>
      </w:r>
      <w:r w:rsidRPr="00DA4B74">
        <w:rPr>
          <w:color w:val="000000"/>
          <w:sz w:val="22"/>
        </w:rPr>
        <w:t>of the standards.</w:t>
      </w:r>
      <w:r w:rsidR="00C132F2" w:rsidRPr="00DA4B74">
        <w:rPr>
          <w:color w:val="000000"/>
          <w:sz w:val="22"/>
        </w:rPr>
        <w:t xml:space="preserve"> </w:t>
      </w:r>
      <w:r w:rsidRPr="00DA4B74">
        <w:rPr>
          <w:color w:val="000000"/>
          <w:sz w:val="22"/>
        </w:rPr>
        <w:t xml:space="preserve"> If there are differences, an adjustment should be made to the balance of</w:t>
      </w:r>
      <w:r w:rsidR="00C132F2" w:rsidRPr="00DA4B74">
        <w:rPr>
          <w:color w:val="000000"/>
          <w:sz w:val="22"/>
        </w:rPr>
        <w:t xml:space="preserve"> </w:t>
      </w:r>
      <w:r w:rsidRPr="00DA4B74">
        <w:rPr>
          <w:color w:val="000000"/>
          <w:sz w:val="22"/>
        </w:rPr>
        <w:t>the internal loans outstanding and to the accumulations of the CRR</w:t>
      </w:r>
      <w:r w:rsidR="00C14390" w:rsidRPr="00DA4B74">
        <w:rPr>
          <w:color w:val="000000"/>
          <w:sz w:val="22"/>
        </w:rPr>
        <w:t>,</w:t>
      </w:r>
      <w:r w:rsidRPr="00DA4B74">
        <w:rPr>
          <w:color w:val="000000"/>
          <w:sz w:val="22"/>
        </w:rPr>
        <w:t xml:space="preserve"> to ensure that the</w:t>
      </w:r>
      <w:r w:rsidR="00C132F2" w:rsidRPr="00DA4B74">
        <w:rPr>
          <w:color w:val="000000"/>
          <w:sz w:val="22"/>
        </w:rPr>
        <w:t xml:space="preserve"> </w:t>
      </w:r>
      <w:r w:rsidRPr="00DA4B74">
        <w:rPr>
          <w:color w:val="000000"/>
          <w:sz w:val="22"/>
        </w:rPr>
        <w:t>internal loans are in agreement with the carrying value.</w:t>
      </w:r>
    </w:p>
    <w:p w:rsidR="00C132F2" w:rsidRPr="00DA4B74" w:rsidRDefault="0007733C" w:rsidP="00DA4B74">
      <w:pPr>
        <w:tabs>
          <w:tab w:val="left" w:pos="10649"/>
        </w:tabs>
        <w:jc w:val="both"/>
        <w:rPr>
          <w:color w:val="000000"/>
          <w:sz w:val="22"/>
        </w:rPr>
      </w:pPr>
      <w:r w:rsidRPr="00DA4B74">
        <w:rPr>
          <w:color w:val="000000"/>
          <w:sz w:val="22"/>
        </w:rPr>
        <w:t>These internal loans in the CRR are reversed against the liability reflected in the borrowing</w:t>
      </w:r>
      <w:r w:rsidR="00C132F2" w:rsidRPr="00DA4B74">
        <w:rPr>
          <w:color w:val="000000"/>
          <w:sz w:val="22"/>
        </w:rPr>
        <w:t xml:space="preserve"> </w:t>
      </w:r>
      <w:r w:rsidRPr="00DA4B74">
        <w:rPr>
          <w:color w:val="000000"/>
          <w:sz w:val="22"/>
        </w:rPr>
        <w:t>services that had received the internal loans.</w:t>
      </w:r>
      <w:r w:rsidR="00C132F2" w:rsidRPr="00DA4B74">
        <w:rPr>
          <w:color w:val="000000"/>
          <w:sz w:val="22"/>
        </w:rPr>
        <w:t xml:space="preserve"> </w:t>
      </w:r>
      <w:r w:rsidRPr="00DA4B74">
        <w:rPr>
          <w:color w:val="000000"/>
          <w:sz w:val="22"/>
        </w:rPr>
        <w:t xml:space="preserve"> This will result in the assets of the CRR being</w:t>
      </w:r>
      <w:r w:rsidR="00C132F2" w:rsidRPr="00DA4B74">
        <w:rPr>
          <w:color w:val="000000"/>
          <w:sz w:val="22"/>
        </w:rPr>
        <w:t xml:space="preserve"> </w:t>
      </w:r>
      <w:r w:rsidRPr="00DA4B74">
        <w:rPr>
          <w:color w:val="000000"/>
          <w:sz w:val="22"/>
        </w:rPr>
        <w:t>less than the accumulations in the CRR</w:t>
      </w:r>
      <w:r w:rsidR="00C14390" w:rsidRPr="00DA4B74">
        <w:rPr>
          <w:color w:val="000000"/>
          <w:sz w:val="22"/>
        </w:rPr>
        <w:t>,</w:t>
      </w:r>
      <w:r w:rsidRPr="00DA4B74">
        <w:rPr>
          <w:color w:val="000000"/>
          <w:sz w:val="22"/>
        </w:rPr>
        <w:t xml:space="preserve"> by the amount of the reversal of the internal loans.</w:t>
      </w:r>
    </w:p>
    <w:p w:rsidR="00E91DA9" w:rsidRPr="00DA4B74" w:rsidRDefault="0007733C" w:rsidP="00DA4B74">
      <w:pPr>
        <w:tabs>
          <w:tab w:val="left" w:pos="10649"/>
        </w:tabs>
        <w:jc w:val="both"/>
        <w:rPr>
          <w:color w:val="000000"/>
          <w:sz w:val="22"/>
        </w:rPr>
      </w:pPr>
      <w:r w:rsidRPr="00DA4B74">
        <w:rPr>
          <w:color w:val="000000"/>
          <w:sz w:val="22"/>
        </w:rPr>
        <w:t>An amount is the</w:t>
      </w:r>
      <w:r w:rsidR="00C132F2" w:rsidRPr="00DA4B74">
        <w:rPr>
          <w:color w:val="000000"/>
          <w:sz w:val="22"/>
        </w:rPr>
        <w:t xml:space="preserve"> </w:t>
      </w:r>
      <w:r w:rsidR="00AE1014" w:rsidRPr="00DA4B74">
        <w:rPr>
          <w:color w:val="000000"/>
          <w:sz w:val="22"/>
        </w:rPr>
        <w:t>“</w:t>
      </w:r>
      <w:r w:rsidR="00C132F2" w:rsidRPr="00DA4B74">
        <w:rPr>
          <w:color w:val="000000"/>
          <w:sz w:val="22"/>
        </w:rPr>
        <w:t>b</w:t>
      </w:r>
      <w:r w:rsidRPr="00DA4B74">
        <w:rPr>
          <w:color w:val="000000"/>
          <w:sz w:val="22"/>
        </w:rPr>
        <w:t>efore transferred from the CRR</w:t>
      </w:r>
      <w:r w:rsidR="00AE1014" w:rsidRPr="00DA4B74">
        <w:rPr>
          <w:color w:val="000000"/>
          <w:sz w:val="22"/>
        </w:rPr>
        <w:t>”</w:t>
      </w:r>
      <w:r w:rsidRPr="00DA4B74">
        <w:rPr>
          <w:color w:val="000000"/>
          <w:sz w:val="22"/>
        </w:rPr>
        <w:t xml:space="preserve">, equal to the </w:t>
      </w:r>
      <w:r w:rsidR="00AE1014" w:rsidRPr="00DA4B74">
        <w:rPr>
          <w:color w:val="000000"/>
          <w:sz w:val="22"/>
        </w:rPr>
        <w:t>“</w:t>
      </w:r>
      <w:r w:rsidRPr="00DA4B74">
        <w:rPr>
          <w:color w:val="000000"/>
          <w:sz w:val="22"/>
        </w:rPr>
        <w:t>internal loans reversed</w:t>
      </w:r>
      <w:r w:rsidR="00AE1014" w:rsidRPr="00DA4B74">
        <w:rPr>
          <w:color w:val="000000"/>
          <w:sz w:val="22"/>
        </w:rPr>
        <w:t>”</w:t>
      </w:r>
      <w:r w:rsidRPr="00DA4B74">
        <w:rPr>
          <w:color w:val="000000"/>
          <w:sz w:val="22"/>
        </w:rPr>
        <w:t>, to a</w:t>
      </w:r>
      <w:r w:rsidR="00C132F2" w:rsidRPr="00DA4B74">
        <w:rPr>
          <w:color w:val="000000"/>
          <w:sz w:val="22"/>
        </w:rPr>
        <w:t xml:space="preserve"> </w:t>
      </w:r>
      <w:r w:rsidR="00AE1014" w:rsidRPr="00DA4B74">
        <w:rPr>
          <w:color w:val="000000"/>
          <w:sz w:val="22"/>
        </w:rPr>
        <w:t>“</w:t>
      </w:r>
      <w:r w:rsidRPr="00DA4B74">
        <w:rPr>
          <w:color w:val="000000"/>
          <w:sz w:val="22"/>
        </w:rPr>
        <w:t>Capitalisation Reserve</w:t>
      </w:r>
      <w:r w:rsidR="00AE1014" w:rsidRPr="00DA4B74">
        <w:rPr>
          <w:color w:val="000000"/>
          <w:sz w:val="22"/>
        </w:rPr>
        <w:t>”</w:t>
      </w:r>
      <w:r w:rsidRPr="00DA4B74">
        <w:rPr>
          <w:color w:val="000000"/>
          <w:sz w:val="22"/>
        </w:rPr>
        <w:t xml:space="preserve">. </w:t>
      </w:r>
      <w:r w:rsidR="00C132F2" w:rsidRPr="00DA4B74">
        <w:rPr>
          <w:color w:val="000000"/>
          <w:sz w:val="22"/>
        </w:rPr>
        <w:t xml:space="preserve"> </w:t>
      </w:r>
      <w:r w:rsidRPr="00DA4B74">
        <w:rPr>
          <w:color w:val="000000"/>
          <w:sz w:val="22"/>
        </w:rPr>
        <w:t>The Capitalisation Reserve therefore represents amounts previously</w:t>
      </w:r>
      <w:r w:rsidR="00C132F2" w:rsidRPr="00DA4B74">
        <w:rPr>
          <w:color w:val="000000"/>
          <w:sz w:val="22"/>
        </w:rPr>
        <w:t xml:space="preserve"> </w:t>
      </w:r>
      <w:r w:rsidRPr="00DA4B74">
        <w:rPr>
          <w:color w:val="000000"/>
          <w:sz w:val="22"/>
        </w:rPr>
        <w:t>accumulated that were recovered from consumers through rates and tariffs and that have</w:t>
      </w:r>
      <w:r w:rsidR="00C132F2" w:rsidRPr="00DA4B74">
        <w:rPr>
          <w:color w:val="000000"/>
          <w:sz w:val="22"/>
        </w:rPr>
        <w:t xml:space="preserve"> </w:t>
      </w:r>
      <w:r w:rsidRPr="00DA4B74">
        <w:rPr>
          <w:color w:val="000000"/>
          <w:sz w:val="22"/>
        </w:rPr>
        <w:t xml:space="preserve">been used to acquire items of Property, Plant and Equipment. </w:t>
      </w:r>
      <w:r w:rsidR="00C132F2" w:rsidRPr="00DA4B74">
        <w:rPr>
          <w:color w:val="000000"/>
          <w:sz w:val="22"/>
        </w:rPr>
        <w:t xml:space="preserve"> </w:t>
      </w:r>
      <w:r w:rsidRPr="00DA4B74">
        <w:rPr>
          <w:color w:val="000000"/>
          <w:sz w:val="22"/>
        </w:rPr>
        <w:t>These amounts are therefore</w:t>
      </w:r>
      <w:r w:rsidR="00C132F2" w:rsidRPr="00DA4B74">
        <w:rPr>
          <w:color w:val="000000"/>
          <w:sz w:val="22"/>
        </w:rPr>
        <w:t xml:space="preserve"> </w:t>
      </w:r>
      <w:r w:rsidRPr="00DA4B74">
        <w:rPr>
          <w:color w:val="000000"/>
          <w:sz w:val="22"/>
        </w:rPr>
        <w:t xml:space="preserve">not available to be used for any other purpose. </w:t>
      </w:r>
      <w:r w:rsidR="00C132F2" w:rsidRPr="00DA4B74">
        <w:rPr>
          <w:color w:val="000000"/>
          <w:sz w:val="22"/>
        </w:rPr>
        <w:t xml:space="preserve"> </w:t>
      </w:r>
      <w:r w:rsidRPr="00DA4B74">
        <w:rPr>
          <w:color w:val="000000"/>
          <w:sz w:val="22"/>
        </w:rPr>
        <w:t>In addition, this Reserve aims to promote</w:t>
      </w:r>
      <w:r w:rsidR="00E91DA9" w:rsidRPr="00DA4B74">
        <w:rPr>
          <w:color w:val="000000"/>
          <w:sz w:val="22"/>
        </w:rPr>
        <w:t xml:space="preserve"> </w:t>
      </w:r>
      <w:r w:rsidRPr="00DA4B74">
        <w:rPr>
          <w:color w:val="000000"/>
          <w:sz w:val="22"/>
        </w:rPr>
        <w:t>consumer equity by ensuring that consumers are not subject to double taxation when the</w:t>
      </w:r>
      <w:r w:rsidR="00E91DA9" w:rsidRPr="00DA4B74">
        <w:rPr>
          <w:color w:val="000000"/>
          <w:sz w:val="22"/>
        </w:rPr>
        <w:t xml:space="preserve"> </w:t>
      </w:r>
      <w:r w:rsidRPr="00DA4B74">
        <w:rPr>
          <w:color w:val="000000"/>
          <w:sz w:val="22"/>
        </w:rPr>
        <w:t xml:space="preserve">items of property, plant and equipment acquired through internal loans are depreciated </w:t>
      </w:r>
      <w:r w:rsidR="00097539" w:rsidRPr="00DA4B74">
        <w:rPr>
          <w:color w:val="000000"/>
          <w:sz w:val="22"/>
        </w:rPr>
        <w:t>up</w:t>
      </w:r>
      <w:r w:rsidRPr="00DA4B74">
        <w:rPr>
          <w:color w:val="000000"/>
          <w:sz w:val="22"/>
        </w:rPr>
        <w:t>on</w:t>
      </w:r>
      <w:r w:rsidR="00E91DA9" w:rsidRPr="00DA4B74">
        <w:rPr>
          <w:color w:val="000000"/>
          <w:sz w:val="22"/>
        </w:rPr>
        <w:t xml:space="preserve"> </w:t>
      </w:r>
      <w:r w:rsidRPr="00DA4B74">
        <w:rPr>
          <w:color w:val="000000"/>
          <w:sz w:val="22"/>
        </w:rPr>
        <w:t>the introduction of standards</w:t>
      </w:r>
      <w:r w:rsidR="00E91DA9" w:rsidRPr="00DA4B74">
        <w:rPr>
          <w:color w:val="000000"/>
          <w:sz w:val="22"/>
        </w:rPr>
        <w:t xml:space="preserve">.  </w:t>
      </w:r>
    </w:p>
    <w:p w:rsidR="00E91DA9" w:rsidRPr="00DA4B74" w:rsidRDefault="0007733C" w:rsidP="00DA4B74">
      <w:pPr>
        <w:tabs>
          <w:tab w:val="left" w:pos="10649"/>
        </w:tabs>
        <w:jc w:val="both"/>
        <w:rPr>
          <w:color w:val="000000"/>
          <w:sz w:val="22"/>
        </w:rPr>
      </w:pPr>
      <w:r w:rsidRPr="00DA4B74">
        <w:rPr>
          <w:color w:val="000000"/>
          <w:sz w:val="22"/>
        </w:rPr>
        <w:t>The accounting entries relating to the establishment of the Capitalisation Reserve and the</w:t>
      </w:r>
      <w:r w:rsidR="00E91DA9" w:rsidRPr="00DA4B74">
        <w:rPr>
          <w:color w:val="000000"/>
          <w:sz w:val="22"/>
        </w:rPr>
        <w:t xml:space="preserve"> </w:t>
      </w:r>
      <w:r w:rsidRPr="00DA4B74">
        <w:rPr>
          <w:color w:val="000000"/>
          <w:sz w:val="22"/>
        </w:rPr>
        <w:t>offsetting of depreciation are illustrated further in this Chapter.</w:t>
      </w:r>
      <w:r w:rsidR="00E91DA9" w:rsidRPr="00DA4B74">
        <w:rPr>
          <w:color w:val="000000"/>
          <w:sz w:val="22"/>
        </w:rPr>
        <w:t xml:space="preserve"> </w:t>
      </w:r>
    </w:p>
    <w:p w:rsidR="00E91DA9" w:rsidRPr="00DA4B74" w:rsidRDefault="0007733C" w:rsidP="00DA4B74">
      <w:pPr>
        <w:tabs>
          <w:tab w:val="left" w:pos="10649"/>
        </w:tabs>
        <w:jc w:val="both"/>
        <w:rPr>
          <w:color w:val="000000"/>
          <w:sz w:val="22"/>
        </w:rPr>
      </w:pPr>
      <w:r w:rsidRPr="00DA4B74">
        <w:rPr>
          <w:b/>
          <w:bCs/>
          <w:color w:val="000000"/>
          <w:sz w:val="22"/>
        </w:rPr>
        <w:t>The process to establish the CRR (where there is no CLF)</w:t>
      </w:r>
      <w:r w:rsidR="00E91DA9" w:rsidRPr="00DA4B74">
        <w:rPr>
          <w:color w:val="000000"/>
          <w:sz w:val="22"/>
        </w:rPr>
        <w:t xml:space="preserve"> </w:t>
      </w:r>
    </w:p>
    <w:p w:rsidR="00E91DA9" w:rsidRPr="00DA4B74" w:rsidRDefault="00E91DA9" w:rsidP="00DA4B74">
      <w:pPr>
        <w:tabs>
          <w:tab w:val="left" w:pos="10649"/>
        </w:tabs>
        <w:jc w:val="both"/>
        <w:rPr>
          <w:b/>
          <w:bCs/>
          <w:color w:val="FFFFFF"/>
          <w:sz w:val="22"/>
        </w:rPr>
      </w:pPr>
      <w:r w:rsidRPr="00DA4B74">
        <w:rPr>
          <w:color w:val="000000"/>
          <w:sz w:val="22"/>
        </w:rPr>
        <w:t>T</w:t>
      </w:r>
      <w:r w:rsidR="0007733C" w:rsidRPr="00DA4B74">
        <w:rPr>
          <w:color w:val="000000"/>
          <w:sz w:val="22"/>
        </w:rPr>
        <w:t>he following process map should be used to establish the CRR where there is no</w:t>
      </w:r>
      <w:r w:rsidRPr="00DA4B74">
        <w:rPr>
          <w:color w:val="000000"/>
          <w:sz w:val="22"/>
        </w:rPr>
        <w:t xml:space="preserve"> </w:t>
      </w:r>
      <w:r w:rsidR="0007733C" w:rsidRPr="00DA4B74">
        <w:rPr>
          <w:color w:val="000000"/>
          <w:sz w:val="22"/>
        </w:rPr>
        <w:t xml:space="preserve">Consolidated Loans Fund (CLF). </w:t>
      </w:r>
    </w:p>
    <w:p w:rsidR="003C48BE" w:rsidRPr="00DA4B74" w:rsidRDefault="0007733C" w:rsidP="00DA4B74">
      <w:pPr>
        <w:tabs>
          <w:tab w:val="left" w:pos="10649"/>
        </w:tabs>
        <w:jc w:val="both"/>
        <w:rPr>
          <w:color w:val="000000"/>
          <w:sz w:val="22"/>
        </w:rPr>
      </w:pPr>
      <w:r w:rsidRPr="00DA4B74">
        <w:rPr>
          <w:color w:val="000000"/>
          <w:sz w:val="22"/>
        </w:rPr>
        <w:t>One Aggregate the existing statutory funds into one account.</w:t>
      </w:r>
      <w:r w:rsidR="00E91DA9" w:rsidRPr="00DA4B74">
        <w:rPr>
          <w:color w:val="000000"/>
          <w:sz w:val="22"/>
        </w:rPr>
        <w:t xml:space="preserve"> </w:t>
      </w:r>
      <w:r w:rsidRPr="00DA4B74">
        <w:rPr>
          <w:color w:val="000000"/>
          <w:sz w:val="22"/>
        </w:rPr>
        <w:t xml:space="preserve"> This is</w:t>
      </w:r>
      <w:r w:rsidR="00E91DA9" w:rsidRPr="00DA4B74">
        <w:rPr>
          <w:color w:val="000000"/>
          <w:sz w:val="22"/>
        </w:rPr>
        <w:t xml:space="preserve"> </w:t>
      </w:r>
      <w:r w:rsidRPr="00DA4B74">
        <w:rPr>
          <w:color w:val="000000"/>
          <w:sz w:val="22"/>
        </w:rPr>
        <w:t>merely the aggregation of similar account balances</w:t>
      </w:r>
      <w:r w:rsidR="003C48BE" w:rsidRPr="00DA4B74">
        <w:rPr>
          <w:color w:val="000000"/>
          <w:sz w:val="22"/>
        </w:rPr>
        <w:t xml:space="preserve"> </w:t>
      </w:r>
    </w:p>
    <w:p w:rsidR="003C48BE" w:rsidRPr="00DA4B74" w:rsidRDefault="0007733C" w:rsidP="00DA4B74">
      <w:pPr>
        <w:tabs>
          <w:tab w:val="left" w:pos="10649"/>
        </w:tabs>
        <w:jc w:val="both"/>
        <w:rPr>
          <w:color w:val="000000"/>
          <w:sz w:val="22"/>
        </w:rPr>
      </w:pPr>
      <w:r w:rsidRPr="00DA4B74">
        <w:rPr>
          <w:color w:val="000000"/>
          <w:sz w:val="22"/>
        </w:rPr>
        <w:t>Two Debit the accumulated account by an amount equivalent to the</w:t>
      </w:r>
      <w:r w:rsidR="003C48BE" w:rsidRPr="00DA4B74">
        <w:rPr>
          <w:color w:val="000000"/>
          <w:sz w:val="22"/>
        </w:rPr>
        <w:t xml:space="preserve"> </w:t>
      </w:r>
      <w:r w:rsidRPr="00DA4B74">
        <w:rPr>
          <w:color w:val="000000"/>
          <w:sz w:val="22"/>
        </w:rPr>
        <w:t>internal investments/internal advances outstanding and credit the</w:t>
      </w:r>
      <w:r w:rsidR="003C48BE" w:rsidRPr="00DA4B74">
        <w:rPr>
          <w:color w:val="000000"/>
          <w:sz w:val="22"/>
        </w:rPr>
        <w:t xml:space="preserve"> </w:t>
      </w:r>
      <w:r w:rsidRPr="00DA4B74">
        <w:rPr>
          <w:color w:val="000000"/>
          <w:sz w:val="22"/>
        </w:rPr>
        <w:t>Capitalisation Reserve.</w:t>
      </w:r>
    </w:p>
    <w:p w:rsidR="003C48BE" w:rsidRPr="00DA4B74" w:rsidRDefault="0007733C" w:rsidP="00DA4B74">
      <w:pPr>
        <w:tabs>
          <w:tab w:val="left" w:pos="10649"/>
        </w:tabs>
        <w:jc w:val="both"/>
        <w:rPr>
          <w:color w:val="000000"/>
          <w:sz w:val="22"/>
        </w:rPr>
      </w:pPr>
      <w:r w:rsidRPr="00DA4B74">
        <w:rPr>
          <w:color w:val="000000"/>
          <w:sz w:val="22"/>
        </w:rPr>
        <w:t xml:space="preserve">Three </w:t>
      </w:r>
      <w:proofErr w:type="gramStart"/>
      <w:r w:rsidRPr="00DA4B74">
        <w:rPr>
          <w:color w:val="000000"/>
          <w:sz w:val="22"/>
        </w:rPr>
        <w:t>Reverse</w:t>
      </w:r>
      <w:proofErr w:type="gramEnd"/>
      <w:r w:rsidRPr="00DA4B74">
        <w:rPr>
          <w:color w:val="000000"/>
          <w:sz w:val="22"/>
        </w:rPr>
        <w:t xml:space="preserve"> the internal investments/internal advances balance against</w:t>
      </w:r>
      <w:r w:rsidR="003C48BE" w:rsidRPr="00DA4B74">
        <w:rPr>
          <w:color w:val="000000"/>
          <w:sz w:val="22"/>
        </w:rPr>
        <w:t xml:space="preserve"> </w:t>
      </w:r>
      <w:r w:rsidRPr="00DA4B74">
        <w:rPr>
          <w:color w:val="000000"/>
          <w:sz w:val="22"/>
        </w:rPr>
        <w:t>the various internal loans or advances accounts in the borrowing</w:t>
      </w:r>
      <w:r w:rsidR="003C48BE" w:rsidRPr="00DA4B74">
        <w:rPr>
          <w:color w:val="000000"/>
          <w:sz w:val="22"/>
        </w:rPr>
        <w:t xml:space="preserve"> </w:t>
      </w:r>
      <w:r w:rsidRPr="00DA4B74">
        <w:rPr>
          <w:color w:val="000000"/>
          <w:sz w:val="22"/>
        </w:rPr>
        <w:t>services</w:t>
      </w:r>
      <w:r w:rsidR="003C48BE" w:rsidRPr="00DA4B74">
        <w:rPr>
          <w:color w:val="000000"/>
          <w:sz w:val="22"/>
        </w:rPr>
        <w:t xml:space="preserve"> </w:t>
      </w:r>
    </w:p>
    <w:p w:rsidR="00DA611B" w:rsidRPr="00DA4B74" w:rsidRDefault="0007733C" w:rsidP="00DA4B74">
      <w:pPr>
        <w:tabs>
          <w:tab w:val="left" w:pos="10649"/>
        </w:tabs>
        <w:jc w:val="both"/>
        <w:rPr>
          <w:color w:val="000000"/>
          <w:sz w:val="22"/>
        </w:rPr>
      </w:pPr>
      <w:r w:rsidRPr="00DA4B74">
        <w:rPr>
          <w:color w:val="000000"/>
          <w:sz w:val="22"/>
        </w:rPr>
        <w:t xml:space="preserve">Four </w:t>
      </w:r>
      <w:proofErr w:type="gramStart"/>
      <w:r w:rsidRPr="00DA4B74">
        <w:rPr>
          <w:color w:val="000000"/>
          <w:sz w:val="22"/>
        </w:rPr>
        <w:t>Compare</w:t>
      </w:r>
      <w:proofErr w:type="gramEnd"/>
      <w:r w:rsidRPr="00DA4B74">
        <w:rPr>
          <w:color w:val="000000"/>
          <w:sz w:val="22"/>
        </w:rPr>
        <w:t xml:space="preserve"> the total of the accumulated fund to the balance of cash or</w:t>
      </w:r>
      <w:r w:rsidR="003C48BE" w:rsidRPr="00DA4B74">
        <w:rPr>
          <w:color w:val="000000"/>
          <w:sz w:val="22"/>
        </w:rPr>
        <w:t xml:space="preserve"> </w:t>
      </w:r>
      <w:r w:rsidRPr="00DA4B74">
        <w:rPr>
          <w:color w:val="000000"/>
          <w:sz w:val="22"/>
        </w:rPr>
        <w:t>investments attributable to the CRR. Reverse the “unfunded”</w:t>
      </w:r>
      <w:r w:rsidR="003C48BE" w:rsidRPr="00DA4B74">
        <w:rPr>
          <w:color w:val="000000"/>
          <w:sz w:val="22"/>
        </w:rPr>
        <w:t xml:space="preserve"> </w:t>
      </w:r>
      <w:r w:rsidRPr="00DA4B74">
        <w:rPr>
          <w:color w:val="000000"/>
          <w:sz w:val="22"/>
        </w:rPr>
        <w:t xml:space="preserve">balance to the accumulated </w:t>
      </w:r>
      <w:r w:rsidR="00C132F2" w:rsidRPr="00DA4B74">
        <w:rPr>
          <w:color w:val="000000"/>
          <w:sz w:val="22"/>
        </w:rPr>
        <w:t>surplus</w:t>
      </w:r>
    </w:p>
    <w:p w:rsidR="003C48BE" w:rsidRPr="00DA4B74" w:rsidRDefault="00C132F2" w:rsidP="00DA4B74">
      <w:pPr>
        <w:tabs>
          <w:tab w:val="left" w:pos="10649"/>
        </w:tabs>
        <w:jc w:val="both"/>
        <w:rPr>
          <w:b/>
          <w:bCs/>
          <w:color w:val="000000"/>
          <w:sz w:val="22"/>
        </w:rPr>
      </w:pPr>
      <w:r w:rsidRPr="00DA4B74">
        <w:rPr>
          <w:b/>
          <w:bCs/>
          <w:color w:val="000000"/>
          <w:sz w:val="22"/>
        </w:rPr>
        <w:t>The process to establish the EFF (where there is no CLF)</w:t>
      </w:r>
      <w:r w:rsidR="003C48BE" w:rsidRPr="00DA4B74">
        <w:rPr>
          <w:b/>
          <w:bCs/>
          <w:color w:val="000000"/>
          <w:sz w:val="22"/>
        </w:rPr>
        <w:t xml:space="preserve"> </w:t>
      </w:r>
    </w:p>
    <w:p w:rsidR="003C48BE" w:rsidRPr="00DA4B74" w:rsidRDefault="00C132F2" w:rsidP="00DA4B74">
      <w:pPr>
        <w:tabs>
          <w:tab w:val="left" w:pos="10649"/>
        </w:tabs>
        <w:jc w:val="both"/>
        <w:rPr>
          <w:color w:val="000000"/>
          <w:sz w:val="22"/>
        </w:rPr>
      </w:pPr>
      <w:r w:rsidRPr="00DA4B74">
        <w:rPr>
          <w:color w:val="000000"/>
          <w:sz w:val="22"/>
        </w:rPr>
        <w:t xml:space="preserve">Where there is no CLF, the process to establish the EFF is relatively simple. </w:t>
      </w:r>
      <w:r w:rsidR="003C48BE" w:rsidRPr="00DA4B74">
        <w:rPr>
          <w:color w:val="000000"/>
          <w:sz w:val="22"/>
        </w:rPr>
        <w:t xml:space="preserve"> </w:t>
      </w:r>
      <w:r w:rsidRPr="00DA4B74">
        <w:rPr>
          <w:color w:val="000000"/>
          <w:sz w:val="22"/>
        </w:rPr>
        <w:t>Based on the</w:t>
      </w:r>
      <w:r w:rsidR="003C48BE" w:rsidRPr="00DA4B74">
        <w:rPr>
          <w:color w:val="000000"/>
          <w:sz w:val="22"/>
        </w:rPr>
        <w:t xml:space="preserve"> </w:t>
      </w:r>
      <w:r w:rsidRPr="00DA4B74">
        <w:rPr>
          <w:color w:val="000000"/>
          <w:sz w:val="22"/>
        </w:rPr>
        <w:t>work done on preparing a Fixed Assets Register and Unbundling Loans Redeemed and</w:t>
      </w:r>
      <w:r w:rsidR="003C48BE" w:rsidRPr="00DA4B74">
        <w:rPr>
          <w:color w:val="000000"/>
          <w:sz w:val="22"/>
        </w:rPr>
        <w:t xml:space="preserve"> </w:t>
      </w:r>
      <w:r w:rsidRPr="00DA4B74">
        <w:rPr>
          <w:color w:val="000000"/>
          <w:sz w:val="22"/>
        </w:rPr>
        <w:t>Other Capital Receipts, it will be possible to determine the external loans outstanding</w:t>
      </w:r>
      <w:r w:rsidR="00C66C2F" w:rsidRPr="00DA4B74">
        <w:rPr>
          <w:color w:val="000000"/>
          <w:sz w:val="22"/>
        </w:rPr>
        <w:t>;</w:t>
      </w:r>
      <w:r w:rsidRPr="00DA4B74">
        <w:rPr>
          <w:color w:val="000000"/>
          <w:sz w:val="22"/>
        </w:rPr>
        <w:t xml:space="preserve"> what</w:t>
      </w:r>
      <w:r w:rsidR="003C48BE" w:rsidRPr="00DA4B74">
        <w:rPr>
          <w:color w:val="000000"/>
          <w:sz w:val="22"/>
        </w:rPr>
        <w:t xml:space="preserve"> </w:t>
      </w:r>
      <w:r w:rsidRPr="00DA4B74">
        <w:rPr>
          <w:color w:val="000000"/>
          <w:sz w:val="22"/>
        </w:rPr>
        <w:t>has been utilised to finance property, plant and equipment</w:t>
      </w:r>
      <w:r w:rsidR="00C66C2F" w:rsidRPr="00DA4B74">
        <w:rPr>
          <w:color w:val="000000"/>
          <w:sz w:val="22"/>
        </w:rPr>
        <w:t>;</w:t>
      </w:r>
      <w:r w:rsidRPr="00DA4B74">
        <w:rPr>
          <w:color w:val="000000"/>
          <w:sz w:val="22"/>
        </w:rPr>
        <w:t xml:space="preserve"> and</w:t>
      </w:r>
      <w:r w:rsidR="00C66C2F" w:rsidRPr="00DA4B74">
        <w:rPr>
          <w:color w:val="000000"/>
          <w:sz w:val="22"/>
        </w:rPr>
        <w:t>,</w:t>
      </w:r>
      <w:r w:rsidRPr="00DA4B74">
        <w:rPr>
          <w:color w:val="000000"/>
          <w:sz w:val="22"/>
        </w:rPr>
        <w:t xml:space="preserve"> what is unspent. </w:t>
      </w:r>
      <w:r w:rsidR="003C48BE" w:rsidRPr="00DA4B74">
        <w:rPr>
          <w:color w:val="000000"/>
          <w:sz w:val="22"/>
        </w:rPr>
        <w:t xml:space="preserve"> </w:t>
      </w:r>
    </w:p>
    <w:p w:rsidR="003C48BE" w:rsidRPr="00DA4B74" w:rsidRDefault="00C132F2" w:rsidP="00DA4B74">
      <w:pPr>
        <w:tabs>
          <w:tab w:val="left" w:pos="10649"/>
        </w:tabs>
        <w:jc w:val="both"/>
        <w:rPr>
          <w:b/>
          <w:bCs/>
          <w:color w:val="000000"/>
          <w:sz w:val="22"/>
        </w:rPr>
      </w:pPr>
      <w:r w:rsidRPr="00DA4B74">
        <w:rPr>
          <w:b/>
          <w:bCs/>
          <w:color w:val="000000"/>
          <w:sz w:val="22"/>
        </w:rPr>
        <w:t>Unbundling the CLF to establish the EFF and CRR</w:t>
      </w:r>
    </w:p>
    <w:p w:rsidR="003C48BE" w:rsidRPr="00DA4B74" w:rsidRDefault="00C132F2" w:rsidP="00DA4B74">
      <w:pPr>
        <w:tabs>
          <w:tab w:val="left" w:pos="10649"/>
        </w:tabs>
        <w:jc w:val="both"/>
        <w:rPr>
          <w:color w:val="000000"/>
          <w:sz w:val="22"/>
        </w:rPr>
      </w:pPr>
      <w:r w:rsidRPr="00DA4B74">
        <w:rPr>
          <w:color w:val="000000"/>
          <w:sz w:val="22"/>
        </w:rPr>
        <w:t>The CLF is a technically complex fund and therefore its unbundling will be equally technically</w:t>
      </w:r>
      <w:r w:rsidR="003C48BE" w:rsidRPr="00DA4B74">
        <w:rPr>
          <w:color w:val="000000"/>
          <w:sz w:val="22"/>
        </w:rPr>
        <w:t xml:space="preserve"> </w:t>
      </w:r>
      <w:r w:rsidRPr="00DA4B74">
        <w:rPr>
          <w:color w:val="000000"/>
          <w:sz w:val="22"/>
        </w:rPr>
        <w:t xml:space="preserve">complex. </w:t>
      </w:r>
      <w:r w:rsidR="003C48BE" w:rsidRPr="00DA4B74">
        <w:rPr>
          <w:color w:val="000000"/>
          <w:sz w:val="22"/>
        </w:rPr>
        <w:t xml:space="preserve"> </w:t>
      </w:r>
      <w:r w:rsidRPr="00DA4B74">
        <w:rPr>
          <w:color w:val="000000"/>
          <w:sz w:val="22"/>
        </w:rPr>
        <w:t>There are various methods used by municipalities to both establish and maintain</w:t>
      </w:r>
      <w:r w:rsidR="003C48BE" w:rsidRPr="00DA4B74">
        <w:rPr>
          <w:color w:val="000000"/>
          <w:sz w:val="22"/>
        </w:rPr>
        <w:t xml:space="preserve"> </w:t>
      </w:r>
      <w:r w:rsidRPr="00DA4B74">
        <w:rPr>
          <w:color w:val="000000"/>
          <w:sz w:val="22"/>
        </w:rPr>
        <w:t xml:space="preserve">their CLF. </w:t>
      </w:r>
      <w:r w:rsidR="003C48BE" w:rsidRPr="00DA4B74">
        <w:rPr>
          <w:color w:val="000000"/>
          <w:sz w:val="22"/>
        </w:rPr>
        <w:t xml:space="preserve"> </w:t>
      </w:r>
      <w:r w:rsidRPr="00DA4B74">
        <w:rPr>
          <w:color w:val="000000"/>
          <w:sz w:val="22"/>
        </w:rPr>
        <w:t xml:space="preserve">This guideline </w:t>
      </w:r>
      <w:r w:rsidR="00661A85" w:rsidRPr="00DA4B74">
        <w:rPr>
          <w:color w:val="000000"/>
          <w:sz w:val="22"/>
        </w:rPr>
        <w:t xml:space="preserve">presented here </w:t>
      </w:r>
      <w:r w:rsidRPr="00DA4B74">
        <w:rPr>
          <w:color w:val="000000"/>
          <w:sz w:val="22"/>
        </w:rPr>
        <w:t>cannot include relevant guidance on all the different methods in use</w:t>
      </w:r>
      <w:r w:rsidR="003C48BE" w:rsidRPr="00DA4B74">
        <w:rPr>
          <w:color w:val="000000"/>
          <w:sz w:val="22"/>
        </w:rPr>
        <w:t xml:space="preserve"> </w:t>
      </w:r>
      <w:r w:rsidRPr="00DA4B74">
        <w:rPr>
          <w:color w:val="000000"/>
          <w:sz w:val="22"/>
        </w:rPr>
        <w:t>but rather explains the unbundling process by using a comprehensive example of a CLF.</w:t>
      </w:r>
    </w:p>
    <w:p w:rsidR="00C132F2" w:rsidRPr="00DA4B74" w:rsidRDefault="00C132F2" w:rsidP="00DA4B74">
      <w:pPr>
        <w:tabs>
          <w:tab w:val="left" w:pos="10649"/>
        </w:tabs>
        <w:jc w:val="both"/>
        <w:rPr>
          <w:color w:val="000000"/>
          <w:sz w:val="22"/>
        </w:rPr>
      </w:pPr>
      <w:r w:rsidRPr="00DA4B74">
        <w:rPr>
          <w:color w:val="000000"/>
          <w:sz w:val="22"/>
        </w:rPr>
        <w:t>Municipalities will therefore need to adapt the unbundling guidance in this Chapter to their</w:t>
      </w:r>
      <w:r w:rsidR="003C48BE" w:rsidRPr="00DA4B74">
        <w:rPr>
          <w:color w:val="000000"/>
          <w:sz w:val="22"/>
        </w:rPr>
        <w:t xml:space="preserve"> </w:t>
      </w:r>
      <w:r w:rsidRPr="00DA4B74">
        <w:rPr>
          <w:color w:val="000000"/>
          <w:sz w:val="22"/>
        </w:rPr>
        <w:t>own specific circumstances.</w:t>
      </w:r>
    </w:p>
    <w:p w:rsidR="003C48BE" w:rsidRPr="003C715F" w:rsidRDefault="00C132F2" w:rsidP="00DA4B74">
      <w:pPr>
        <w:tabs>
          <w:tab w:val="left" w:pos="10649"/>
        </w:tabs>
        <w:jc w:val="both"/>
        <w:rPr>
          <w:color w:val="000000"/>
          <w:sz w:val="22"/>
        </w:rPr>
      </w:pPr>
      <w:r w:rsidRPr="00DA4B74">
        <w:rPr>
          <w:color w:val="000000"/>
          <w:sz w:val="22"/>
        </w:rPr>
        <w:t>Firstly</w:t>
      </w:r>
      <w:r w:rsidR="004F29D9" w:rsidRPr="00DA4B74">
        <w:rPr>
          <w:color w:val="000000"/>
          <w:sz w:val="22"/>
        </w:rPr>
        <w:t>,</w:t>
      </w:r>
      <w:r w:rsidRPr="00DA4B74">
        <w:rPr>
          <w:color w:val="000000"/>
          <w:sz w:val="22"/>
        </w:rPr>
        <w:t xml:space="preserve"> classify internal advances</w:t>
      </w:r>
      <w:r w:rsidR="003C48BE" w:rsidRPr="00DA4B74">
        <w:rPr>
          <w:color w:val="000000"/>
          <w:sz w:val="22"/>
        </w:rPr>
        <w:t xml:space="preserve"> </w:t>
      </w:r>
      <w:r w:rsidRPr="00DA4B74">
        <w:rPr>
          <w:color w:val="000000"/>
          <w:sz w:val="22"/>
        </w:rPr>
        <w:t xml:space="preserve">between external loans and internal capital accumulations of the different funds. </w:t>
      </w:r>
      <w:r w:rsidR="003C48BE" w:rsidRPr="00DA4B74">
        <w:rPr>
          <w:color w:val="000000"/>
          <w:sz w:val="22"/>
        </w:rPr>
        <w:t xml:space="preserve"> </w:t>
      </w:r>
      <w:r w:rsidRPr="00DA4B74">
        <w:rPr>
          <w:color w:val="000000"/>
          <w:sz w:val="22"/>
        </w:rPr>
        <w:t>If the</w:t>
      </w:r>
      <w:r w:rsidR="003C48BE" w:rsidRPr="00DA4B74">
        <w:rPr>
          <w:color w:val="000000"/>
          <w:sz w:val="22"/>
        </w:rPr>
        <w:t xml:space="preserve"> </w:t>
      </w:r>
      <w:r w:rsidRPr="00DA4B74">
        <w:rPr>
          <w:color w:val="000000"/>
          <w:sz w:val="22"/>
        </w:rPr>
        <w:t>outstanding external loan amount is not fully covered by the outstanding internal advances</w:t>
      </w:r>
      <w:r w:rsidR="003C48BE" w:rsidRPr="00DA4B74">
        <w:rPr>
          <w:color w:val="000000"/>
          <w:sz w:val="22"/>
        </w:rPr>
        <w:t xml:space="preserve"> </w:t>
      </w:r>
      <w:r w:rsidRPr="00DA4B74">
        <w:rPr>
          <w:color w:val="000000"/>
          <w:sz w:val="22"/>
        </w:rPr>
        <w:t xml:space="preserve">the shortfall will be covered by allocating external investments to the EFF. </w:t>
      </w:r>
      <w:r w:rsidR="003C48BE" w:rsidRPr="00DA4B74">
        <w:rPr>
          <w:color w:val="000000"/>
          <w:sz w:val="22"/>
        </w:rPr>
        <w:t xml:space="preserve"> </w:t>
      </w:r>
      <w:r w:rsidRPr="00DA4B74">
        <w:rPr>
          <w:color w:val="000000"/>
          <w:sz w:val="22"/>
        </w:rPr>
        <w:t>The remaining</w:t>
      </w:r>
      <w:r w:rsidR="003C48BE" w:rsidRPr="00DA4B74">
        <w:rPr>
          <w:color w:val="000000"/>
          <w:sz w:val="22"/>
        </w:rPr>
        <w:t xml:space="preserve"> </w:t>
      </w:r>
      <w:r w:rsidRPr="00DA4B74">
        <w:rPr>
          <w:color w:val="000000"/>
          <w:sz w:val="22"/>
        </w:rPr>
        <w:t xml:space="preserve">portion of external investments of the old CLF is now earmarked for the CRR. </w:t>
      </w:r>
      <w:r w:rsidR="003C48BE" w:rsidRPr="00DA4B74">
        <w:rPr>
          <w:color w:val="000000"/>
          <w:sz w:val="22"/>
        </w:rPr>
        <w:t xml:space="preserve"> </w:t>
      </w:r>
      <w:r w:rsidRPr="00DA4B74">
        <w:rPr>
          <w:color w:val="000000"/>
          <w:sz w:val="22"/>
        </w:rPr>
        <w:t>Consolidate all</w:t>
      </w:r>
      <w:r w:rsidR="003C48BE" w:rsidRPr="00DA4B74">
        <w:rPr>
          <w:color w:val="000000"/>
          <w:sz w:val="22"/>
        </w:rPr>
        <w:t xml:space="preserve"> </w:t>
      </w:r>
      <w:r w:rsidRPr="00DA4B74">
        <w:rPr>
          <w:color w:val="000000"/>
          <w:sz w:val="22"/>
        </w:rPr>
        <w:t xml:space="preserve">accumulations of the different funds to form a draft CRR. </w:t>
      </w:r>
      <w:r w:rsidR="003C48BE" w:rsidRPr="00DA4B74">
        <w:rPr>
          <w:color w:val="000000"/>
          <w:sz w:val="22"/>
        </w:rPr>
        <w:t xml:space="preserve"> </w:t>
      </w:r>
      <w:r w:rsidRPr="00DA4B74">
        <w:rPr>
          <w:color w:val="000000"/>
          <w:sz w:val="22"/>
        </w:rPr>
        <w:t>Decrease (debit) the draft CRR with</w:t>
      </w:r>
      <w:r w:rsidR="003C48BE" w:rsidRPr="00DA4B74">
        <w:rPr>
          <w:color w:val="000000"/>
          <w:sz w:val="22"/>
        </w:rPr>
        <w:t xml:space="preserve"> </w:t>
      </w:r>
      <w:r w:rsidRPr="00DA4B74">
        <w:rPr>
          <w:color w:val="000000"/>
          <w:sz w:val="22"/>
        </w:rPr>
        <w:t>the amount of the outstanding internal advances made from internal capital funds via the</w:t>
      </w:r>
      <w:r w:rsidR="003C48BE" w:rsidRPr="00DA4B74">
        <w:rPr>
          <w:color w:val="000000"/>
          <w:sz w:val="22"/>
        </w:rPr>
        <w:t xml:space="preserve"> </w:t>
      </w:r>
      <w:r w:rsidRPr="00DA4B74">
        <w:rPr>
          <w:color w:val="000000"/>
          <w:sz w:val="22"/>
        </w:rPr>
        <w:t>CLF and create (credit) the Capitalisation Reserve.</w:t>
      </w:r>
      <w:r w:rsidR="003C48BE" w:rsidRPr="00DA4B74">
        <w:rPr>
          <w:color w:val="000000"/>
          <w:sz w:val="22"/>
        </w:rPr>
        <w:t xml:space="preserve"> </w:t>
      </w:r>
      <w:r w:rsidRPr="00DA4B74">
        <w:rPr>
          <w:color w:val="000000"/>
          <w:sz w:val="22"/>
        </w:rPr>
        <w:t xml:space="preserve"> Follow the same process with any</w:t>
      </w:r>
      <w:r w:rsidR="003C48BE" w:rsidRPr="00DA4B74">
        <w:rPr>
          <w:color w:val="000000"/>
          <w:sz w:val="22"/>
        </w:rPr>
        <w:t xml:space="preserve"> </w:t>
      </w:r>
      <w:r w:rsidRPr="00DA4B74">
        <w:rPr>
          <w:color w:val="000000"/>
          <w:sz w:val="22"/>
        </w:rPr>
        <w:t xml:space="preserve">outstanding advances made directly from the individual funds. </w:t>
      </w:r>
      <w:r w:rsidR="003C48BE" w:rsidRPr="00DA4B74">
        <w:rPr>
          <w:color w:val="000000"/>
          <w:sz w:val="22"/>
        </w:rPr>
        <w:t xml:space="preserve"> </w:t>
      </w:r>
      <w:r w:rsidRPr="00DA4B74">
        <w:rPr>
          <w:color w:val="000000"/>
          <w:sz w:val="22"/>
        </w:rPr>
        <w:t>The Capitalisation Reserve</w:t>
      </w:r>
      <w:r w:rsidR="003C48BE" w:rsidRPr="00DA4B74">
        <w:rPr>
          <w:color w:val="000000"/>
          <w:sz w:val="22"/>
        </w:rPr>
        <w:t xml:space="preserve"> </w:t>
      </w:r>
      <w:r w:rsidRPr="00DA4B74">
        <w:rPr>
          <w:color w:val="000000"/>
          <w:sz w:val="22"/>
        </w:rPr>
        <w:t>should balance with the total carrying value of the assets that have been financed by the</w:t>
      </w:r>
      <w:r w:rsidR="003C48BE" w:rsidRPr="00DA4B74">
        <w:rPr>
          <w:color w:val="000000"/>
          <w:sz w:val="22"/>
        </w:rPr>
        <w:t xml:space="preserve"> </w:t>
      </w:r>
      <w:r w:rsidRPr="00DA4B74">
        <w:rPr>
          <w:color w:val="000000"/>
          <w:sz w:val="22"/>
        </w:rPr>
        <w:t>internal advances as the depreciation on these assets will be offset from this reserve in</w:t>
      </w:r>
      <w:r w:rsidR="003C48BE" w:rsidRPr="00DA4B74">
        <w:rPr>
          <w:color w:val="000000"/>
          <w:sz w:val="22"/>
        </w:rPr>
        <w:t xml:space="preserve"> </w:t>
      </w:r>
      <w:r w:rsidRPr="00DA4B74">
        <w:rPr>
          <w:color w:val="000000"/>
          <w:sz w:val="22"/>
        </w:rPr>
        <w:t xml:space="preserve">future. </w:t>
      </w:r>
      <w:r w:rsidR="003C48BE" w:rsidRPr="00DA4B74">
        <w:rPr>
          <w:color w:val="000000"/>
          <w:sz w:val="22"/>
        </w:rPr>
        <w:t xml:space="preserve"> </w:t>
      </w:r>
      <w:r w:rsidRPr="00DA4B74">
        <w:rPr>
          <w:color w:val="000000"/>
          <w:sz w:val="22"/>
        </w:rPr>
        <w:t>The draft CRR (after the internal advances have been deducted) will now have to be</w:t>
      </w:r>
      <w:r w:rsidR="003C48BE" w:rsidRPr="00DA4B74">
        <w:rPr>
          <w:color w:val="000000"/>
          <w:sz w:val="22"/>
        </w:rPr>
        <w:t xml:space="preserve"> </w:t>
      </w:r>
      <w:r w:rsidRPr="00DA4B74">
        <w:rPr>
          <w:color w:val="000000"/>
          <w:sz w:val="22"/>
        </w:rPr>
        <w:t>compared with the cash and external investments.</w:t>
      </w:r>
      <w:r w:rsidR="003C48BE" w:rsidRPr="00DA4B74">
        <w:rPr>
          <w:color w:val="000000"/>
          <w:sz w:val="22"/>
        </w:rPr>
        <w:t xml:space="preserve"> </w:t>
      </w:r>
      <w:r w:rsidRPr="00DA4B74">
        <w:rPr>
          <w:color w:val="000000"/>
          <w:sz w:val="22"/>
        </w:rPr>
        <w:t xml:space="preserve"> If there is a cash shortfall the CRR will be</w:t>
      </w:r>
      <w:r w:rsidR="003C48BE" w:rsidRPr="00DA4B74">
        <w:rPr>
          <w:color w:val="000000"/>
          <w:sz w:val="22"/>
        </w:rPr>
        <w:t xml:space="preserve"> </w:t>
      </w:r>
      <w:r w:rsidRPr="00DA4B74">
        <w:rPr>
          <w:color w:val="000000"/>
          <w:sz w:val="22"/>
        </w:rPr>
        <w:t>decreased (debited) with the amount of the shortfall, which will be transferred (credited) to</w:t>
      </w:r>
      <w:r w:rsidR="003C48BE" w:rsidRPr="00DA4B74">
        <w:rPr>
          <w:color w:val="000000"/>
          <w:sz w:val="22"/>
        </w:rPr>
        <w:t xml:space="preserve"> </w:t>
      </w:r>
      <w:r w:rsidRPr="00DA4B74">
        <w:rPr>
          <w:color w:val="000000"/>
          <w:sz w:val="22"/>
        </w:rPr>
        <w:t>Accumulated Surplus/Deficit.</w:t>
      </w:r>
      <w:r w:rsidR="003C48BE" w:rsidRPr="003C715F">
        <w:rPr>
          <w:color w:val="000000"/>
          <w:sz w:val="22"/>
        </w:rPr>
        <w:t xml:space="preserve">  </w:t>
      </w:r>
    </w:p>
    <w:p w:rsidR="003C48BE" w:rsidRPr="003C715F" w:rsidRDefault="00C132F2" w:rsidP="00DA4B74">
      <w:pPr>
        <w:tabs>
          <w:tab w:val="left" w:pos="10649"/>
        </w:tabs>
        <w:jc w:val="both"/>
        <w:rPr>
          <w:b/>
          <w:bCs/>
          <w:color w:val="000000"/>
          <w:sz w:val="22"/>
        </w:rPr>
      </w:pPr>
      <w:r w:rsidRPr="003C715F">
        <w:rPr>
          <w:b/>
          <w:bCs/>
          <w:color w:val="000000"/>
          <w:sz w:val="22"/>
        </w:rPr>
        <w:t>Conclusion</w:t>
      </w:r>
      <w:r w:rsidR="003C48BE" w:rsidRPr="003C715F">
        <w:rPr>
          <w:b/>
          <w:bCs/>
          <w:color w:val="000000"/>
          <w:sz w:val="22"/>
        </w:rPr>
        <w:t xml:space="preserve"> </w:t>
      </w:r>
    </w:p>
    <w:p w:rsidR="003C48BE" w:rsidRPr="00DA4B74" w:rsidRDefault="00C132F2" w:rsidP="00DA4B74">
      <w:pPr>
        <w:tabs>
          <w:tab w:val="left" w:pos="10649"/>
        </w:tabs>
        <w:jc w:val="both"/>
        <w:rPr>
          <w:color w:val="000000"/>
          <w:sz w:val="22"/>
        </w:rPr>
      </w:pPr>
      <w:r w:rsidRPr="00DA4B74">
        <w:rPr>
          <w:color w:val="000000"/>
          <w:sz w:val="22"/>
        </w:rPr>
        <w:t>The establishment of the CRR and EFF, particularly where there is a CLF, is a technically</w:t>
      </w:r>
      <w:r w:rsidR="003C48BE" w:rsidRPr="00DA4B74">
        <w:rPr>
          <w:color w:val="000000"/>
          <w:sz w:val="22"/>
        </w:rPr>
        <w:t xml:space="preserve"> </w:t>
      </w:r>
      <w:r w:rsidRPr="00DA4B74">
        <w:rPr>
          <w:color w:val="000000"/>
          <w:sz w:val="22"/>
        </w:rPr>
        <w:t>difficult exercise. It is important that the new principles of accounting for property, plant and</w:t>
      </w:r>
      <w:r w:rsidR="003C48BE" w:rsidRPr="00DA4B74">
        <w:rPr>
          <w:color w:val="000000"/>
          <w:sz w:val="22"/>
        </w:rPr>
        <w:t xml:space="preserve"> </w:t>
      </w:r>
      <w:r w:rsidRPr="00DA4B74">
        <w:rPr>
          <w:color w:val="000000"/>
          <w:sz w:val="22"/>
        </w:rPr>
        <w:t>equipment are fully understood so that the objectives of the unbundling process can be</w:t>
      </w:r>
      <w:r w:rsidR="003C48BE" w:rsidRPr="00DA4B74">
        <w:rPr>
          <w:color w:val="000000"/>
          <w:sz w:val="22"/>
        </w:rPr>
        <w:t xml:space="preserve"> </w:t>
      </w:r>
      <w:r w:rsidRPr="00DA4B74">
        <w:rPr>
          <w:color w:val="000000"/>
          <w:sz w:val="22"/>
        </w:rPr>
        <w:t>conceptualised.</w:t>
      </w:r>
      <w:r w:rsidR="003C48BE" w:rsidRPr="00DA4B74">
        <w:rPr>
          <w:color w:val="000000"/>
          <w:sz w:val="22"/>
        </w:rPr>
        <w:t xml:space="preserve">  </w:t>
      </w:r>
    </w:p>
    <w:p w:rsidR="003C48BE" w:rsidRPr="00DA4B74" w:rsidRDefault="00C132F2" w:rsidP="00DA4B74">
      <w:pPr>
        <w:tabs>
          <w:tab w:val="left" w:pos="10649"/>
        </w:tabs>
        <w:jc w:val="both"/>
        <w:rPr>
          <w:color w:val="000000"/>
          <w:sz w:val="22"/>
        </w:rPr>
      </w:pPr>
      <w:r w:rsidRPr="00DA4B74">
        <w:rPr>
          <w:color w:val="000000"/>
          <w:sz w:val="22"/>
        </w:rPr>
        <w:t>It is also important that municipalities prepare a draft CRR even if there is not likely to be</w:t>
      </w:r>
      <w:r w:rsidR="003C48BE" w:rsidRPr="00DA4B74">
        <w:rPr>
          <w:color w:val="000000"/>
          <w:sz w:val="22"/>
        </w:rPr>
        <w:t xml:space="preserve"> </w:t>
      </w:r>
      <w:r w:rsidRPr="00DA4B74">
        <w:rPr>
          <w:color w:val="000000"/>
          <w:sz w:val="22"/>
        </w:rPr>
        <w:t>sufficient cash or investments. It is only once the CRR has been established that the amount</w:t>
      </w:r>
      <w:r w:rsidR="003C48BE" w:rsidRPr="00DA4B74">
        <w:rPr>
          <w:color w:val="000000"/>
          <w:sz w:val="22"/>
        </w:rPr>
        <w:t xml:space="preserve"> </w:t>
      </w:r>
      <w:r w:rsidRPr="00DA4B74">
        <w:rPr>
          <w:color w:val="000000"/>
          <w:sz w:val="22"/>
        </w:rPr>
        <w:t>of cash or investments required can be determined. If the CRR does have sufficient cash or</w:t>
      </w:r>
      <w:r w:rsidR="003C48BE" w:rsidRPr="00DA4B74">
        <w:rPr>
          <w:color w:val="000000"/>
          <w:sz w:val="22"/>
        </w:rPr>
        <w:t xml:space="preserve"> </w:t>
      </w:r>
      <w:r w:rsidRPr="00DA4B74">
        <w:rPr>
          <w:color w:val="000000"/>
          <w:sz w:val="22"/>
        </w:rPr>
        <w:t>investments, the balance of the CRR must be retained as this will be a cost-effective source</w:t>
      </w:r>
      <w:r w:rsidR="003C48BE" w:rsidRPr="00DA4B74">
        <w:rPr>
          <w:color w:val="000000"/>
          <w:sz w:val="22"/>
        </w:rPr>
        <w:t xml:space="preserve"> </w:t>
      </w:r>
      <w:r w:rsidRPr="00DA4B74">
        <w:rPr>
          <w:color w:val="000000"/>
          <w:sz w:val="22"/>
        </w:rPr>
        <w:t>of financing in future years.</w:t>
      </w:r>
      <w:r w:rsidR="003C48BE" w:rsidRPr="00DA4B74">
        <w:rPr>
          <w:color w:val="000000"/>
          <w:sz w:val="22"/>
        </w:rPr>
        <w:t xml:space="preserve">  </w:t>
      </w:r>
    </w:p>
    <w:p w:rsidR="00C132F2" w:rsidRPr="00DA4B74" w:rsidRDefault="00C132F2" w:rsidP="00DA4B74">
      <w:pPr>
        <w:tabs>
          <w:tab w:val="left" w:pos="10649"/>
        </w:tabs>
        <w:jc w:val="both"/>
        <w:rPr>
          <w:b/>
          <w:bCs/>
          <w:color w:val="365F91"/>
          <w:sz w:val="22"/>
        </w:rPr>
      </w:pPr>
      <w:r w:rsidRPr="00DA4B74">
        <w:rPr>
          <w:color w:val="000000"/>
          <w:sz w:val="22"/>
        </w:rPr>
        <w:t xml:space="preserve">It should be noted that these implementation entries </w:t>
      </w:r>
      <w:r w:rsidR="00DC0C0E" w:rsidRPr="00DA4B74">
        <w:rPr>
          <w:color w:val="000000"/>
          <w:sz w:val="22"/>
        </w:rPr>
        <w:t>can</w:t>
      </w:r>
      <w:r w:rsidRPr="00DA4B74">
        <w:rPr>
          <w:color w:val="000000"/>
          <w:sz w:val="22"/>
        </w:rPr>
        <w:t xml:space="preserve"> only be prepared once the various</w:t>
      </w:r>
      <w:r w:rsidR="003C48BE" w:rsidRPr="00DA4B74">
        <w:rPr>
          <w:color w:val="000000"/>
          <w:sz w:val="22"/>
        </w:rPr>
        <w:t xml:space="preserve"> </w:t>
      </w:r>
      <w:r w:rsidRPr="00DA4B74">
        <w:rPr>
          <w:color w:val="000000"/>
          <w:sz w:val="22"/>
        </w:rPr>
        <w:t>balances in the statutory funds have been finalised in the year preceding</w:t>
      </w:r>
      <w:r w:rsidR="003C48BE" w:rsidRPr="00DA4B74">
        <w:rPr>
          <w:color w:val="000000"/>
          <w:sz w:val="22"/>
        </w:rPr>
        <w:t xml:space="preserve"> implementation.</w:t>
      </w:r>
    </w:p>
    <w:sectPr w:rsidR="00C132F2" w:rsidRPr="00DA4B74" w:rsidSect="00DA611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51" w:rsidRDefault="00591751" w:rsidP="00EE4567">
      <w:pPr>
        <w:spacing w:after="0" w:line="240" w:lineRule="auto"/>
      </w:pPr>
      <w:r>
        <w:separator/>
      </w:r>
    </w:p>
  </w:endnote>
  <w:endnote w:type="continuationSeparator" w:id="0">
    <w:p w:rsidR="00591751" w:rsidRDefault="00591751" w:rsidP="00EE4567">
      <w:pPr>
        <w:spacing w:after="0" w:line="240" w:lineRule="auto"/>
      </w:pPr>
      <w:r>
        <w:continuationSeparator/>
      </w:r>
    </w:p>
  </w:endnote>
  <w:endnote w:type="continuationNotice" w:id="1">
    <w:p w:rsidR="00591751" w:rsidRDefault="00591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4F3F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5" w:type="dxa"/>
      <w:tblBorders>
        <w:top w:val="single" w:sz="18" w:space="0" w:color="BF8F00"/>
      </w:tblBorders>
      <w:tblLayout w:type="fixed"/>
      <w:tblLook w:val="0000" w:firstRow="0" w:lastRow="0" w:firstColumn="0" w:lastColumn="0" w:noHBand="0" w:noVBand="0"/>
    </w:tblPr>
    <w:tblGrid>
      <w:gridCol w:w="7672"/>
      <w:gridCol w:w="2323"/>
    </w:tblGrid>
    <w:tr w:rsidR="00695A56" w:rsidTr="00695A56">
      <w:trPr>
        <w:trHeight w:val="250"/>
      </w:trPr>
      <w:tc>
        <w:tcPr>
          <w:tcW w:w="7672" w:type="dxa"/>
        </w:tcPr>
        <w:p w:rsidR="00695A56" w:rsidRPr="000733DA" w:rsidRDefault="00695A56" w:rsidP="00695A56">
          <w:pPr>
            <w:ind w:right="58"/>
            <w:rPr>
              <w:b/>
              <w:i/>
              <w:sz w:val="18"/>
            </w:rPr>
          </w:pPr>
          <w:r>
            <w:rPr>
              <w:b/>
              <w:i/>
              <w:sz w:val="18"/>
            </w:rPr>
            <w:t>November 2016</w:t>
          </w:r>
        </w:p>
      </w:tc>
      <w:tc>
        <w:tcPr>
          <w:tcW w:w="2323" w:type="dxa"/>
        </w:tcPr>
        <w:p w:rsidR="00695A56" w:rsidRDefault="00695A56" w:rsidP="00695A56">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052202">
            <w:rPr>
              <w:b/>
              <w:i/>
              <w:noProof/>
              <w:sz w:val="18"/>
            </w:rPr>
            <w:t>11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052202">
            <w:rPr>
              <w:b/>
              <w:i/>
              <w:noProof/>
              <w:sz w:val="18"/>
            </w:rPr>
            <w:t>31</w:t>
          </w:r>
          <w:r w:rsidRPr="000733DA">
            <w:rPr>
              <w:b/>
              <w:i/>
              <w:sz w:val="18"/>
            </w:rPr>
            <w:fldChar w:fldCharType="end"/>
          </w:r>
        </w:p>
      </w:tc>
    </w:tr>
  </w:tbl>
  <w:p w:rsidR="00592F75" w:rsidRDefault="00592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10645"/>
      <w:gridCol w:w="3224"/>
    </w:tblGrid>
    <w:tr w:rsidR="00695A56" w:rsidTr="00695A56">
      <w:trPr>
        <w:trHeight w:val="286"/>
      </w:trPr>
      <w:tc>
        <w:tcPr>
          <w:tcW w:w="10645" w:type="dxa"/>
        </w:tcPr>
        <w:p w:rsidR="00695A56" w:rsidRPr="000733DA" w:rsidRDefault="00695A56" w:rsidP="00695A56">
          <w:pPr>
            <w:ind w:right="58"/>
            <w:rPr>
              <w:b/>
              <w:i/>
              <w:sz w:val="18"/>
            </w:rPr>
          </w:pPr>
          <w:r>
            <w:rPr>
              <w:b/>
              <w:i/>
              <w:sz w:val="18"/>
            </w:rPr>
            <w:t>November 2016</w:t>
          </w:r>
        </w:p>
      </w:tc>
      <w:tc>
        <w:tcPr>
          <w:tcW w:w="3224" w:type="dxa"/>
        </w:tcPr>
        <w:p w:rsidR="00695A56" w:rsidRDefault="00695A56" w:rsidP="00695A56">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052202">
            <w:rPr>
              <w:b/>
              <w:i/>
              <w:noProof/>
              <w:sz w:val="18"/>
            </w:rPr>
            <w:t>22</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052202">
            <w:rPr>
              <w:b/>
              <w:i/>
              <w:noProof/>
              <w:sz w:val="18"/>
            </w:rPr>
            <w:t>31</w:t>
          </w:r>
          <w:r w:rsidRPr="000733DA">
            <w:rPr>
              <w:b/>
              <w:i/>
              <w:sz w:val="18"/>
            </w:rPr>
            <w:fldChar w:fldCharType="end"/>
          </w:r>
        </w:p>
      </w:tc>
    </w:tr>
  </w:tbl>
  <w:p w:rsidR="00695A56" w:rsidRDefault="00695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Borders>
        <w:top w:val="single" w:sz="18" w:space="0" w:color="BF8F00"/>
      </w:tblBorders>
      <w:tblLayout w:type="fixed"/>
      <w:tblLook w:val="0000" w:firstRow="0" w:lastRow="0" w:firstColumn="0" w:lastColumn="0" w:noHBand="0" w:noVBand="0"/>
    </w:tblPr>
    <w:tblGrid>
      <w:gridCol w:w="7523"/>
      <w:gridCol w:w="2278"/>
    </w:tblGrid>
    <w:tr w:rsidR="004D776F" w:rsidTr="004D776F">
      <w:trPr>
        <w:trHeight w:val="268"/>
      </w:trPr>
      <w:tc>
        <w:tcPr>
          <w:tcW w:w="7523" w:type="dxa"/>
        </w:tcPr>
        <w:p w:rsidR="004D776F" w:rsidRPr="000733DA" w:rsidRDefault="004D776F" w:rsidP="00695A56">
          <w:pPr>
            <w:ind w:right="58"/>
            <w:rPr>
              <w:b/>
              <w:i/>
              <w:sz w:val="18"/>
            </w:rPr>
          </w:pPr>
          <w:r>
            <w:rPr>
              <w:b/>
              <w:i/>
              <w:sz w:val="18"/>
            </w:rPr>
            <w:t>November 2016</w:t>
          </w:r>
        </w:p>
      </w:tc>
      <w:tc>
        <w:tcPr>
          <w:tcW w:w="2278" w:type="dxa"/>
        </w:tcPr>
        <w:p w:rsidR="004D776F" w:rsidRDefault="004D776F" w:rsidP="00695A56">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052202">
            <w:rPr>
              <w:b/>
              <w:i/>
              <w:noProof/>
              <w:sz w:val="18"/>
            </w:rPr>
            <w:t>31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052202">
            <w:rPr>
              <w:b/>
              <w:i/>
              <w:noProof/>
              <w:sz w:val="18"/>
            </w:rPr>
            <w:t>32</w:t>
          </w:r>
          <w:r w:rsidRPr="000733DA">
            <w:rPr>
              <w:b/>
              <w:i/>
              <w:sz w:val="18"/>
            </w:rPr>
            <w:fldChar w:fldCharType="end"/>
          </w:r>
        </w:p>
      </w:tc>
    </w:tr>
  </w:tbl>
  <w:p w:rsidR="004D776F" w:rsidRDefault="004D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51" w:rsidRDefault="00591751" w:rsidP="00EE4567">
      <w:pPr>
        <w:spacing w:after="0" w:line="240" w:lineRule="auto"/>
      </w:pPr>
      <w:r>
        <w:separator/>
      </w:r>
    </w:p>
  </w:footnote>
  <w:footnote w:type="continuationSeparator" w:id="0">
    <w:p w:rsidR="00591751" w:rsidRDefault="00591751" w:rsidP="00EE4567">
      <w:pPr>
        <w:spacing w:after="0" w:line="240" w:lineRule="auto"/>
      </w:pPr>
      <w:r>
        <w:continuationSeparator/>
      </w:r>
    </w:p>
  </w:footnote>
  <w:footnote w:type="continuationNotice" w:id="1">
    <w:p w:rsidR="00591751" w:rsidRDefault="00591751">
      <w:pPr>
        <w:spacing w:after="0" w:line="240" w:lineRule="auto"/>
      </w:pPr>
    </w:p>
  </w:footnote>
  <w:footnote w:id="2">
    <w:p w:rsidR="00592F75" w:rsidRDefault="00592F75">
      <w:pPr>
        <w:pStyle w:val="FootnoteText"/>
      </w:pPr>
      <w:r>
        <w:rPr>
          <w:rStyle w:val="FootnoteReference"/>
        </w:rPr>
        <w:footnoteRef/>
      </w:r>
      <w:r>
        <w:t xml:space="preserve"> mfma.treasury.gov.za/guidelines/pages/grao.aspx</w:t>
      </w:r>
    </w:p>
  </w:footnote>
  <w:footnote w:id="3">
    <w:p w:rsidR="00592F75" w:rsidRPr="00862876" w:rsidRDefault="00592F75">
      <w:pPr>
        <w:pStyle w:val="FootnoteText"/>
      </w:pPr>
      <w:r>
        <w:rPr>
          <w:rStyle w:val="FootnoteReference"/>
        </w:rPr>
        <w:footnoteRef/>
      </w:r>
      <w:r>
        <w:t xml:space="preserve"> </w:t>
      </w:r>
      <w:r w:rsidRPr="00862876">
        <w:rPr>
          <w:sz w:val="22"/>
          <w:szCs w:val="22"/>
        </w:rPr>
        <w:t>Guidance:  Topic 6.3 National Treasury GRAP Implementation 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56" w:rsidRPr="00C57027" w:rsidRDefault="00695A56" w:rsidP="00695A56">
    <w:pPr>
      <w:pBdr>
        <w:bottom w:val="single" w:sz="18" w:space="1" w:color="BF8F00"/>
      </w:pBdr>
      <w:tabs>
        <w:tab w:val="left" w:pos="1500"/>
        <w:tab w:val="center" w:pos="4484"/>
      </w:tabs>
      <w:spacing w:before="60" w:after="60"/>
      <w:ind w:right="57"/>
      <w:rPr>
        <w:b/>
        <w:i/>
        <w:sz w:val="18"/>
      </w:rPr>
    </w:pPr>
    <w:r>
      <w:rPr>
        <w:b/>
        <w:i/>
        <w:sz w:val="18"/>
      </w:rPr>
      <w:tab/>
    </w:r>
    <w:r>
      <w:rPr>
        <w:b/>
        <w:i/>
        <w:sz w:val="18"/>
      </w:rPr>
      <w:tab/>
    </w:r>
    <w:proofErr w:type="spellStart"/>
    <w:proofErr w:type="gramStart"/>
    <w:r>
      <w:rPr>
        <w:b/>
        <w:i/>
        <w:sz w:val="18"/>
      </w:rPr>
      <w:t>mSCOA</w:t>
    </w:r>
    <w:proofErr w:type="spellEnd"/>
    <w:proofErr w:type="gramEnd"/>
    <w:r>
      <w:rPr>
        <w:b/>
        <w:i/>
        <w:sz w:val="18"/>
      </w:rPr>
      <w:t xml:space="preserve"> Draft Position Paper: </w:t>
    </w:r>
    <w:r>
      <w:rPr>
        <w:b/>
        <w:i/>
        <w:sz w:val="18"/>
      </w:rPr>
      <w:t>Accumulated surplus, Reserves and Funds</w:t>
    </w:r>
  </w:p>
  <w:p w:rsidR="00592F75" w:rsidRPr="00695A56" w:rsidRDefault="00592F75" w:rsidP="00695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020"/>
      <w:gridCol w:w="7006"/>
    </w:tblGrid>
    <w:tr w:rsidR="00695A56" w:rsidTr="0028686D">
      <w:trPr>
        <w:cantSplit/>
      </w:trPr>
      <w:tc>
        <w:tcPr>
          <w:tcW w:w="2088" w:type="dxa"/>
          <w:vMerge w:val="restart"/>
        </w:tcPr>
        <w:p w:rsidR="00695A56" w:rsidRDefault="00695A56" w:rsidP="00695A56">
          <w:pPr>
            <w:pStyle w:val="Header"/>
          </w:pPr>
          <w:r>
            <w:rPr>
              <w:noProof/>
            </w:rPr>
            <w:drawing>
              <wp:anchor distT="0" distB="0" distL="114300" distR="114300" simplePos="0" relativeHeight="251659264" behindDoc="0" locked="0" layoutInCell="1" allowOverlap="1" wp14:anchorId="19F02210" wp14:editId="2C578CFD">
                <wp:simplePos x="0" y="0"/>
                <wp:positionH relativeFrom="column">
                  <wp:posOffset>0</wp:posOffset>
                </wp:positionH>
                <wp:positionV relativeFrom="page">
                  <wp:posOffset>-103505</wp:posOffset>
                </wp:positionV>
                <wp:extent cx="1192530" cy="1332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tcPr>
        <w:p w:rsidR="00695A56" w:rsidRDefault="00695A56" w:rsidP="00695A56">
          <w:pPr>
            <w:pStyle w:val="Header"/>
          </w:pPr>
        </w:p>
      </w:tc>
    </w:tr>
    <w:tr w:rsidR="00695A56" w:rsidTr="0028686D">
      <w:trPr>
        <w:cantSplit/>
      </w:trPr>
      <w:tc>
        <w:tcPr>
          <w:tcW w:w="2088" w:type="dxa"/>
          <w:vMerge/>
        </w:tcPr>
        <w:p w:rsidR="00695A56" w:rsidRDefault="00695A56" w:rsidP="00695A56">
          <w:pPr>
            <w:pStyle w:val="Header"/>
          </w:pPr>
        </w:p>
      </w:tc>
      <w:tc>
        <w:tcPr>
          <w:tcW w:w="7199" w:type="dxa"/>
          <w:tcBorders>
            <w:bottom w:val="threeDEmboss" w:sz="12" w:space="0" w:color="FFFFFF"/>
          </w:tcBorders>
          <w:shd w:val="clear" w:color="auto" w:fill="996600"/>
        </w:tcPr>
        <w:p w:rsidR="00695A56" w:rsidRDefault="00695A56" w:rsidP="00695A56">
          <w:pPr>
            <w:pStyle w:val="Heading3"/>
            <w:spacing w:before="60" w:after="60"/>
            <w:ind w:right="57"/>
            <w:rPr>
              <w:smallCaps/>
              <w:color w:val="FFFFFF"/>
              <w:spacing w:val="40"/>
            </w:rPr>
          </w:pPr>
          <w:r>
            <w:rPr>
              <w:smallCaps/>
              <w:color w:val="FFFFFF"/>
              <w:spacing w:val="40"/>
            </w:rPr>
            <w:t>National Treasury</w:t>
          </w:r>
        </w:p>
      </w:tc>
    </w:tr>
    <w:tr w:rsidR="00695A56" w:rsidRPr="00C10227" w:rsidTr="0028686D">
      <w:trPr>
        <w:cantSplit/>
      </w:trPr>
      <w:tc>
        <w:tcPr>
          <w:tcW w:w="2088" w:type="dxa"/>
          <w:vMerge/>
        </w:tcPr>
        <w:p w:rsidR="00695A56" w:rsidRDefault="00695A56" w:rsidP="00695A56">
          <w:pPr>
            <w:pStyle w:val="Header"/>
          </w:pPr>
        </w:p>
      </w:tc>
      <w:tc>
        <w:tcPr>
          <w:tcW w:w="7199" w:type="dxa"/>
          <w:tcBorders>
            <w:top w:val="threeDEmboss" w:sz="12" w:space="0" w:color="FFFFFF"/>
          </w:tcBorders>
          <w:shd w:val="clear" w:color="auto" w:fill="CC9900"/>
          <w:vAlign w:val="center"/>
        </w:tcPr>
        <w:p w:rsidR="00695A56" w:rsidRPr="00D80CED" w:rsidRDefault="00695A56" w:rsidP="00695A56">
          <w:pPr>
            <w:spacing w:before="60"/>
            <w:ind w:left="58" w:right="58"/>
            <w:rPr>
              <w:b/>
              <w:bCs/>
              <w:sz w:val="28"/>
            </w:rPr>
          </w:pPr>
          <w:proofErr w:type="spellStart"/>
          <w:r w:rsidRPr="00D80CED">
            <w:rPr>
              <w:b/>
              <w:bCs/>
              <w:sz w:val="28"/>
            </w:rPr>
            <w:t>mSCOA</w:t>
          </w:r>
          <w:proofErr w:type="spellEnd"/>
          <w:r w:rsidRPr="00D80CED">
            <w:rPr>
              <w:b/>
              <w:bCs/>
              <w:sz w:val="28"/>
            </w:rPr>
            <w:t xml:space="preserve"> </w:t>
          </w:r>
          <w:r>
            <w:rPr>
              <w:b/>
              <w:bCs/>
              <w:sz w:val="28"/>
            </w:rPr>
            <w:t xml:space="preserve">Draft </w:t>
          </w:r>
          <w:r w:rsidRPr="00D80CED">
            <w:rPr>
              <w:b/>
              <w:bCs/>
              <w:sz w:val="28"/>
            </w:rPr>
            <w:t xml:space="preserve">Position Paper: </w:t>
          </w:r>
          <w:r>
            <w:rPr>
              <w:b/>
              <w:bCs/>
              <w:sz w:val="28"/>
            </w:rPr>
            <w:t>Accumulated surplus, Reserves and Funds</w:t>
          </w:r>
        </w:p>
      </w:tc>
    </w:tr>
    <w:tr w:rsidR="00695A56" w:rsidTr="0028686D">
      <w:trPr>
        <w:cantSplit/>
      </w:trPr>
      <w:tc>
        <w:tcPr>
          <w:tcW w:w="2088" w:type="dxa"/>
          <w:vMerge/>
        </w:tcPr>
        <w:p w:rsidR="00695A56" w:rsidRDefault="00695A56" w:rsidP="00695A56">
          <w:pPr>
            <w:pStyle w:val="Header"/>
          </w:pPr>
        </w:p>
      </w:tc>
      <w:tc>
        <w:tcPr>
          <w:tcW w:w="7199" w:type="dxa"/>
        </w:tcPr>
        <w:p w:rsidR="00695A56" w:rsidRDefault="00695A56" w:rsidP="00695A56">
          <w:pPr>
            <w:pStyle w:val="Heading1"/>
          </w:pPr>
        </w:p>
      </w:tc>
    </w:tr>
  </w:tbl>
  <w:p w:rsidR="00695A56" w:rsidRDefault="0069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814"/>
    <w:multiLevelType w:val="hybridMultilevel"/>
    <w:tmpl w:val="DA825F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5E0CBA"/>
    <w:multiLevelType w:val="hybridMultilevel"/>
    <w:tmpl w:val="AF72426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F9337BC"/>
    <w:multiLevelType w:val="hybridMultilevel"/>
    <w:tmpl w:val="B4408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83D1B71"/>
    <w:multiLevelType w:val="hybridMultilevel"/>
    <w:tmpl w:val="07189A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852C82"/>
    <w:multiLevelType w:val="hybridMultilevel"/>
    <w:tmpl w:val="71042BBC"/>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1EF837FC"/>
    <w:multiLevelType w:val="hybridMultilevel"/>
    <w:tmpl w:val="E390B890"/>
    <w:lvl w:ilvl="0" w:tplc="1C090001">
      <w:start w:val="1"/>
      <w:numFmt w:val="bullet"/>
      <w:lvlText w:val=""/>
      <w:lvlJc w:val="left"/>
      <w:pPr>
        <w:ind w:left="786"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1403B61"/>
    <w:multiLevelType w:val="hybridMultilevel"/>
    <w:tmpl w:val="6B365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4841C65"/>
    <w:multiLevelType w:val="hybridMultilevel"/>
    <w:tmpl w:val="14CADF7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FF46A67"/>
    <w:multiLevelType w:val="hybridMultilevel"/>
    <w:tmpl w:val="89808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08929A4"/>
    <w:multiLevelType w:val="hybridMultilevel"/>
    <w:tmpl w:val="4F642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6D42E8"/>
    <w:multiLevelType w:val="hybridMultilevel"/>
    <w:tmpl w:val="19D09ABA"/>
    <w:lvl w:ilvl="0" w:tplc="E210FC5A">
      <w:start w:val="1"/>
      <w:numFmt w:val="decimal"/>
      <w:lvlText w:val="%1."/>
      <w:lvlJc w:val="left"/>
      <w:pPr>
        <w:ind w:left="1212" w:hanging="360"/>
      </w:pPr>
    </w:lvl>
    <w:lvl w:ilvl="1" w:tplc="1C09000B">
      <w:start w:val="1"/>
      <w:numFmt w:val="bullet"/>
      <w:lvlText w:val=""/>
      <w:lvlJc w:val="left"/>
      <w:pPr>
        <w:ind w:left="1080" w:hanging="360"/>
      </w:pPr>
      <w:rPr>
        <w:rFonts w:ascii="Wingdings" w:hAnsi="Wingding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6CA2C4E"/>
    <w:multiLevelType w:val="hybridMultilevel"/>
    <w:tmpl w:val="F28EE4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3B8D5B43"/>
    <w:multiLevelType w:val="hybridMultilevel"/>
    <w:tmpl w:val="C7E2DB8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3" w15:restartNumberingAfterBreak="0">
    <w:nsid w:val="451E58E4"/>
    <w:multiLevelType w:val="hybridMultilevel"/>
    <w:tmpl w:val="0016B4A4"/>
    <w:lvl w:ilvl="0" w:tplc="C26AD96C">
      <w:start w:val="1"/>
      <w:numFmt w:val="decimal"/>
      <w:lvlText w:val="%1."/>
      <w:lvlJc w:val="left"/>
      <w:pPr>
        <w:ind w:left="360" w:hanging="360"/>
      </w:pPr>
    </w:lvl>
    <w:lvl w:ilvl="1" w:tplc="1C090001">
      <w:start w:val="1"/>
      <w:numFmt w:val="bullet"/>
      <w:lvlText w:val=""/>
      <w:lvlJc w:val="left"/>
      <w:pPr>
        <w:ind w:left="228" w:hanging="360"/>
      </w:pPr>
      <w:rPr>
        <w:rFonts w:ascii="Symbol" w:hAnsi="Symbol" w:hint="default"/>
      </w:rPr>
    </w:lvl>
    <w:lvl w:ilvl="2" w:tplc="FB5C984E">
      <w:start w:val="1"/>
      <w:numFmt w:val="bullet"/>
      <w:lvlText w:val=""/>
      <w:lvlJc w:val="left"/>
      <w:pPr>
        <w:ind w:left="180" w:hanging="180"/>
      </w:pPr>
      <w:rPr>
        <w:rFonts w:ascii="Wingdings" w:hAnsi="Wingdings" w:hint="default"/>
      </w:rPr>
    </w:lvl>
    <w:lvl w:ilvl="3" w:tplc="A07A1874">
      <w:start w:val="1"/>
      <w:numFmt w:val="bullet"/>
      <w:pStyle w:val="BulletParagraphs"/>
      <w:lvlText w:val=""/>
      <w:lvlJc w:val="left"/>
      <w:pPr>
        <w:ind w:left="1668" w:hanging="360"/>
      </w:pPr>
      <w:rPr>
        <w:rFonts w:ascii="Wingdings" w:hAnsi="Wingdings" w:hint="default"/>
      </w:rPr>
    </w:lvl>
    <w:lvl w:ilvl="4" w:tplc="1C09000B">
      <w:start w:val="1"/>
      <w:numFmt w:val="bullet"/>
      <w:lvlText w:val=""/>
      <w:lvlJc w:val="left"/>
      <w:pPr>
        <w:ind w:left="2388" w:hanging="360"/>
      </w:pPr>
      <w:rPr>
        <w:rFonts w:ascii="Wingdings" w:hAnsi="Wingdings" w:hint="default"/>
      </w:r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14" w15:restartNumberingAfterBreak="0">
    <w:nsid w:val="456E53DC"/>
    <w:multiLevelType w:val="hybridMultilevel"/>
    <w:tmpl w:val="F620D9EE"/>
    <w:lvl w:ilvl="0" w:tplc="22F8EAC4">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9E468AB"/>
    <w:multiLevelType w:val="hybridMultilevel"/>
    <w:tmpl w:val="3D9AAC2A"/>
    <w:lvl w:ilvl="0" w:tplc="5C00D0AC">
      <w:start w:val="1"/>
      <w:numFmt w:val="bullet"/>
      <w:pStyle w:val="BulletLevelParagraph"/>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575C24B7"/>
    <w:multiLevelType w:val="hybridMultilevel"/>
    <w:tmpl w:val="CBCE3892"/>
    <w:lvl w:ilvl="0" w:tplc="C26AD96C">
      <w:start w:val="1"/>
      <w:numFmt w:val="decimal"/>
      <w:pStyle w:val="ListParagraph"/>
      <w:lvlText w:val="%1."/>
      <w:lvlJc w:val="left"/>
      <w:pPr>
        <w:ind w:left="360" w:hanging="360"/>
      </w:pPr>
    </w:lvl>
    <w:lvl w:ilvl="1" w:tplc="1C090001">
      <w:start w:val="1"/>
      <w:numFmt w:val="bullet"/>
      <w:lvlText w:val=""/>
      <w:lvlJc w:val="left"/>
      <w:pPr>
        <w:ind w:left="228" w:hanging="360"/>
      </w:pPr>
      <w:rPr>
        <w:rFonts w:ascii="Symbol" w:hAnsi="Symbol" w:hint="default"/>
      </w:rPr>
    </w:lvl>
    <w:lvl w:ilvl="2" w:tplc="FB5C984E">
      <w:start w:val="1"/>
      <w:numFmt w:val="bullet"/>
      <w:lvlText w:val=""/>
      <w:lvlJc w:val="left"/>
      <w:pPr>
        <w:ind w:left="180" w:hanging="180"/>
      </w:pPr>
      <w:rPr>
        <w:rFonts w:ascii="Wingdings" w:hAnsi="Wingdings" w:hint="default"/>
      </w:rPr>
    </w:lvl>
    <w:lvl w:ilvl="3" w:tplc="A34AE556">
      <w:start w:val="1"/>
      <w:numFmt w:val="bullet"/>
      <w:lvlText w:val=""/>
      <w:lvlJc w:val="left"/>
      <w:pPr>
        <w:ind w:left="1668" w:hanging="360"/>
      </w:pPr>
      <w:rPr>
        <w:rFonts w:ascii="Symbol" w:hAnsi="Symbol" w:hint="default"/>
      </w:rPr>
    </w:lvl>
    <w:lvl w:ilvl="4" w:tplc="1C09000B">
      <w:start w:val="1"/>
      <w:numFmt w:val="bullet"/>
      <w:lvlText w:val=""/>
      <w:lvlJc w:val="left"/>
      <w:pPr>
        <w:ind w:left="2388" w:hanging="360"/>
      </w:pPr>
      <w:rPr>
        <w:rFonts w:ascii="Wingdings" w:hAnsi="Wingdings" w:hint="default"/>
      </w:r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17" w15:restartNumberingAfterBreak="0">
    <w:nsid w:val="63C423A7"/>
    <w:multiLevelType w:val="hybridMultilevel"/>
    <w:tmpl w:val="F2C073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E0666D"/>
    <w:multiLevelType w:val="hybridMultilevel"/>
    <w:tmpl w:val="0E169ED6"/>
    <w:lvl w:ilvl="0" w:tplc="FFFFFFFF">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65250A6E"/>
    <w:multiLevelType w:val="hybridMultilevel"/>
    <w:tmpl w:val="AD08B968"/>
    <w:lvl w:ilvl="0" w:tplc="FFFFFFFF">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65BF10C7"/>
    <w:multiLevelType w:val="hybridMultilevel"/>
    <w:tmpl w:val="C73A8E08"/>
    <w:lvl w:ilvl="0" w:tplc="445601A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6C3905A6"/>
    <w:multiLevelType w:val="hybridMultilevel"/>
    <w:tmpl w:val="D7D2292A"/>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15:restartNumberingAfterBreak="0">
    <w:nsid w:val="6ED65F21"/>
    <w:multiLevelType w:val="hybridMultilevel"/>
    <w:tmpl w:val="66FC44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4521E1"/>
    <w:multiLevelType w:val="hybridMultilevel"/>
    <w:tmpl w:val="CF9C4330"/>
    <w:lvl w:ilvl="0" w:tplc="1C09000F">
      <w:start w:val="1"/>
      <w:numFmt w:val="decimal"/>
      <w:lvlText w:val="%1."/>
      <w:lvlJc w:val="left"/>
      <w:pPr>
        <w:ind w:left="360" w:hanging="360"/>
      </w:pPr>
    </w:lvl>
    <w:lvl w:ilvl="1" w:tplc="1C090019">
      <w:start w:val="1"/>
      <w:numFmt w:val="lowerLetter"/>
      <w:lvlText w:val="%2."/>
      <w:lvlJc w:val="left"/>
      <w:pPr>
        <w:ind w:left="228" w:hanging="360"/>
      </w:pPr>
    </w:lvl>
    <w:lvl w:ilvl="2" w:tplc="FB5C984E">
      <w:start w:val="1"/>
      <w:numFmt w:val="bullet"/>
      <w:lvlText w:val=""/>
      <w:lvlJc w:val="left"/>
      <w:pPr>
        <w:ind w:left="180" w:hanging="180"/>
      </w:pPr>
      <w:rPr>
        <w:rFonts w:ascii="Wingdings" w:hAnsi="Wingdings" w:hint="default"/>
      </w:rPr>
    </w:lvl>
    <w:lvl w:ilvl="3" w:tplc="1C09000F">
      <w:start w:val="1"/>
      <w:numFmt w:val="decimal"/>
      <w:lvlText w:val="%4."/>
      <w:lvlJc w:val="left"/>
      <w:pPr>
        <w:ind w:left="1668" w:hanging="360"/>
      </w:pPr>
    </w:lvl>
    <w:lvl w:ilvl="4" w:tplc="1C090019" w:tentative="1">
      <w:start w:val="1"/>
      <w:numFmt w:val="lowerLetter"/>
      <w:lvlText w:val="%5."/>
      <w:lvlJc w:val="left"/>
      <w:pPr>
        <w:ind w:left="2388" w:hanging="360"/>
      </w:p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24" w15:restartNumberingAfterBreak="0">
    <w:nsid w:val="783A083F"/>
    <w:multiLevelType w:val="hybridMultilevel"/>
    <w:tmpl w:val="FA2888D4"/>
    <w:lvl w:ilvl="0" w:tplc="1C09000B">
      <w:start w:val="1"/>
      <w:numFmt w:val="bullet"/>
      <w:lvlText w:val=""/>
      <w:lvlJc w:val="left"/>
      <w:pPr>
        <w:ind w:left="786" w:hanging="360"/>
      </w:pPr>
      <w:rPr>
        <w:rFonts w:ascii="Wingdings" w:hAnsi="Wingding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11"/>
  </w:num>
  <w:num w:numId="3">
    <w:abstractNumId w:val="16"/>
  </w:num>
  <w:num w:numId="4">
    <w:abstractNumId w:val="16"/>
  </w:num>
  <w:num w:numId="5">
    <w:abstractNumId w:val="16"/>
  </w:num>
  <w:num w:numId="6">
    <w:abstractNumId w:val="16"/>
  </w:num>
  <w:num w:numId="7">
    <w:abstractNumId w:val="5"/>
  </w:num>
  <w:num w:numId="8">
    <w:abstractNumId w:val="24"/>
  </w:num>
  <w:num w:numId="9">
    <w:abstractNumId w:val="4"/>
  </w:num>
  <w:num w:numId="10">
    <w:abstractNumId w:val="1"/>
  </w:num>
  <w:num w:numId="11">
    <w:abstractNumId w:val="22"/>
  </w:num>
  <w:num w:numId="12">
    <w:abstractNumId w:val="10"/>
  </w:num>
  <w:num w:numId="13">
    <w:abstractNumId w:val="16"/>
  </w:num>
  <w:num w:numId="14">
    <w:abstractNumId w:val="16"/>
  </w:num>
  <w:num w:numId="15">
    <w:abstractNumId w:val="16"/>
  </w:num>
  <w:num w:numId="16">
    <w:abstractNumId w:val="16"/>
  </w:num>
  <w:num w:numId="17">
    <w:abstractNumId w:val="16"/>
  </w:num>
  <w:num w:numId="18">
    <w:abstractNumId w:val="16"/>
    <w:lvlOverride w:ilvl="0">
      <w:startOverride w:val="1"/>
    </w:lvlOverride>
  </w:num>
  <w:num w:numId="19">
    <w:abstractNumId w:val="16"/>
    <w:lvlOverride w:ilvl="0">
      <w:startOverride w:val="1"/>
    </w:lvlOverride>
  </w:num>
  <w:num w:numId="20">
    <w:abstractNumId w:val="14"/>
  </w:num>
  <w:num w:numId="21">
    <w:abstractNumId w:val="16"/>
  </w:num>
  <w:num w:numId="22">
    <w:abstractNumId w:val="16"/>
  </w:num>
  <w:num w:numId="23">
    <w:abstractNumId w:val="23"/>
  </w:num>
  <w:num w:numId="24">
    <w:abstractNumId w:val="17"/>
  </w:num>
  <w:num w:numId="25">
    <w:abstractNumId w:val="3"/>
  </w:num>
  <w:num w:numId="26">
    <w:abstractNumId w:val="16"/>
  </w:num>
  <w:num w:numId="27">
    <w:abstractNumId w:val="7"/>
  </w:num>
  <w:num w:numId="28">
    <w:abstractNumId w:val="16"/>
  </w:num>
  <w:num w:numId="29">
    <w:abstractNumId w:val="16"/>
  </w:num>
  <w:num w:numId="30">
    <w:abstractNumId w:val="20"/>
  </w:num>
  <w:num w:numId="31">
    <w:abstractNumId w:val="16"/>
  </w:num>
  <w:num w:numId="32">
    <w:abstractNumId w:val="19"/>
  </w:num>
  <w:num w:numId="33">
    <w:abstractNumId w:val="18"/>
  </w:num>
  <w:num w:numId="34">
    <w:abstractNumId w:val="6"/>
  </w:num>
  <w:num w:numId="35">
    <w:abstractNumId w:val="8"/>
  </w:num>
  <w:num w:numId="36">
    <w:abstractNumId w:val="2"/>
  </w:num>
  <w:num w:numId="37">
    <w:abstractNumId w:val="0"/>
  </w:num>
  <w:num w:numId="38">
    <w:abstractNumId w:val="16"/>
  </w:num>
  <w:num w:numId="39">
    <w:abstractNumId w:val="16"/>
  </w:num>
  <w:num w:numId="40">
    <w:abstractNumId w:val="9"/>
  </w:num>
  <w:num w:numId="41">
    <w:abstractNumId w:val="13"/>
  </w:num>
  <w:num w:numId="42">
    <w:abstractNumId w:val="21"/>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01"/>
    <w:rsid w:val="00000FA3"/>
    <w:rsid w:val="00003167"/>
    <w:rsid w:val="00007DE5"/>
    <w:rsid w:val="00015E60"/>
    <w:rsid w:val="000263CD"/>
    <w:rsid w:val="00027AA0"/>
    <w:rsid w:val="00033EDC"/>
    <w:rsid w:val="000424EF"/>
    <w:rsid w:val="00046AE7"/>
    <w:rsid w:val="00052202"/>
    <w:rsid w:val="00054515"/>
    <w:rsid w:val="00055409"/>
    <w:rsid w:val="000634FD"/>
    <w:rsid w:val="000762BB"/>
    <w:rsid w:val="00076BC4"/>
    <w:rsid w:val="0007733C"/>
    <w:rsid w:val="00077E03"/>
    <w:rsid w:val="00081E6F"/>
    <w:rsid w:val="00094DA1"/>
    <w:rsid w:val="00096D0A"/>
    <w:rsid w:val="00097539"/>
    <w:rsid w:val="000A16BE"/>
    <w:rsid w:val="000A4A24"/>
    <w:rsid w:val="000A6F27"/>
    <w:rsid w:val="000A7643"/>
    <w:rsid w:val="000B0FFB"/>
    <w:rsid w:val="000B1D88"/>
    <w:rsid w:val="000B22EE"/>
    <w:rsid w:val="000B32BB"/>
    <w:rsid w:val="000B773B"/>
    <w:rsid w:val="000C1C4D"/>
    <w:rsid w:val="000E1513"/>
    <w:rsid w:val="000E4912"/>
    <w:rsid w:val="000E49EB"/>
    <w:rsid w:val="000E7C28"/>
    <w:rsid w:val="000F1C18"/>
    <w:rsid w:val="000F23A4"/>
    <w:rsid w:val="000F45C6"/>
    <w:rsid w:val="000F75CA"/>
    <w:rsid w:val="00100400"/>
    <w:rsid w:val="001005B7"/>
    <w:rsid w:val="001014A3"/>
    <w:rsid w:val="0010489C"/>
    <w:rsid w:val="00107D72"/>
    <w:rsid w:val="00116097"/>
    <w:rsid w:val="001205FA"/>
    <w:rsid w:val="001226D3"/>
    <w:rsid w:val="00123E98"/>
    <w:rsid w:val="00152CCD"/>
    <w:rsid w:val="00154904"/>
    <w:rsid w:val="001577E3"/>
    <w:rsid w:val="001578F2"/>
    <w:rsid w:val="0016034A"/>
    <w:rsid w:val="00160EF2"/>
    <w:rsid w:val="001631A5"/>
    <w:rsid w:val="001660A4"/>
    <w:rsid w:val="00171E5E"/>
    <w:rsid w:val="00172B5C"/>
    <w:rsid w:val="001933C7"/>
    <w:rsid w:val="00197C21"/>
    <w:rsid w:val="001B10C2"/>
    <w:rsid w:val="001B1BB4"/>
    <w:rsid w:val="001B4546"/>
    <w:rsid w:val="001B5BCE"/>
    <w:rsid w:val="001B5E4C"/>
    <w:rsid w:val="001C4C0D"/>
    <w:rsid w:val="001D130C"/>
    <w:rsid w:val="001D3244"/>
    <w:rsid w:val="001D3347"/>
    <w:rsid w:val="001E2240"/>
    <w:rsid w:val="001E2A09"/>
    <w:rsid w:val="00206FF1"/>
    <w:rsid w:val="00210E8E"/>
    <w:rsid w:val="00214480"/>
    <w:rsid w:val="0021572D"/>
    <w:rsid w:val="00220A6C"/>
    <w:rsid w:val="00223F5F"/>
    <w:rsid w:val="00224443"/>
    <w:rsid w:val="0022643F"/>
    <w:rsid w:val="00236D6F"/>
    <w:rsid w:val="002443CC"/>
    <w:rsid w:val="002530E1"/>
    <w:rsid w:val="00253446"/>
    <w:rsid w:val="00253559"/>
    <w:rsid w:val="00257702"/>
    <w:rsid w:val="00257DD3"/>
    <w:rsid w:val="00260BAD"/>
    <w:rsid w:val="002802D1"/>
    <w:rsid w:val="002A12AE"/>
    <w:rsid w:val="002A5FDC"/>
    <w:rsid w:val="002C7B29"/>
    <w:rsid w:val="002E06E3"/>
    <w:rsid w:val="002E4E63"/>
    <w:rsid w:val="002E7E4A"/>
    <w:rsid w:val="002E7EA2"/>
    <w:rsid w:val="00305E5A"/>
    <w:rsid w:val="003132E5"/>
    <w:rsid w:val="003160F1"/>
    <w:rsid w:val="003161E8"/>
    <w:rsid w:val="003175FC"/>
    <w:rsid w:val="00337873"/>
    <w:rsid w:val="00342564"/>
    <w:rsid w:val="00345D5D"/>
    <w:rsid w:val="003638AF"/>
    <w:rsid w:val="0036462F"/>
    <w:rsid w:val="00366EB2"/>
    <w:rsid w:val="00381EE2"/>
    <w:rsid w:val="00384722"/>
    <w:rsid w:val="003859FB"/>
    <w:rsid w:val="0038692B"/>
    <w:rsid w:val="0039404A"/>
    <w:rsid w:val="00394621"/>
    <w:rsid w:val="003A118F"/>
    <w:rsid w:val="003A36BF"/>
    <w:rsid w:val="003B090F"/>
    <w:rsid w:val="003B17B9"/>
    <w:rsid w:val="003B19A7"/>
    <w:rsid w:val="003B6940"/>
    <w:rsid w:val="003C48BE"/>
    <w:rsid w:val="003C715F"/>
    <w:rsid w:val="003D5D87"/>
    <w:rsid w:val="003D76AE"/>
    <w:rsid w:val="003E13D6"/>
    <w:rsid w:val="003E4031"/>
    <w:rsid w:val="003E5AB9"/>
    <w:rsid w:val="003E7B6F"/>
    <w:rsid w:val="00401B27"/>
    <w:rsid w:val="00405FC8"/>
    <w:rsid w:val="00410AF7"/>
    <w:rsid w:val="004225F6"/>
    <w:rsid w:val="004358E5"/>
    <w:rsid w:val="00437FE9"/>
    <w:rsid w:val="00442E90"/>
    <w:rsid w:val="00453954"/>
    <w:rsid w:val="0047597F"/>
    <w:rsid w:val="00480C8C"/>
    <w:rsid w:val="004857A7"/>
    <w:rsid w:val="00485D13"/>
    <w:rsid w:val="00487B90"/>
    <w:rsid w:val="0049185B"/>
    <w:rsid w:val="0049275C"/>
    <w:rsid w:val="004B033B"/>
    <w:rsid w:val="004B1F8E"/>
    <w:rsid w:val="004B4447"/>
    <w:rsid w:val="004B47A3"/>
    <w:rsid w:val="004B503C"/>
    <w:rsid w:val="004B6D90"/>
    <w:rsid w:val="004B7166"/>
    <w:rsid w:val="004B7F14"/>
    <w:rsid w:val="004C21F6"/>
    <w:rsid w:val="004C32AF"/>
    <w:rsid w:val="004C6C12"/>
    <w:rsid w:val="004D1661"/>
    <w:rsid w:val="004D434E"/>
    <w:rsid w:val="004D43E7"/>
    <w:rsid w:val="004D4D44"/>
    <w:rsid w:val="004D776F"/>
    <w:rsid w:val="004E39EE"/>
    <w:rsid w:val="004F17EC"/>
    <w:rsid w:val="004F29D9"/>
    <w:rsid w:val="004F57FE"/>
    <w:rsid w:val="005015B3"/>
    <w:rsid w:val="00503691"/>
    <w:rsid w:val="005079DA"/>
    <w:rsid w:val="0051058D"/>
    <w:rsid w:val="00510A90"/>
    <w:rsid w:val="005169CC"/>
    <w:rsid w:val="005207B2"/>
    <w:rsid w:val="0053098F"/>
    <w:rsid w:val="00531E35"/>
    <w:rsid w:val="005352B9"/>
    <w:rsid w:val="00541FD2"/>
    <w:rsid w:val="00543637"/>
    <w:rsid w:val="00560E28"/>
    <w:rsid w:val="00563C7B"/>
    <w:rsid w:val="00567DC1"/>
    <w:rsid w:val="00577D35"/>
    <w:rsid w:val="00581792"/>
    <w:rsid w:val="00586476"/>
    <w:rsid w:val="00591730"/>
    <w:rsid w:val="00591751"/>
    <w:rsid w:val="00592F75"/>
    <w:rsid w:val="00595B75"/>
    <w:rsid w:val="00597879"/>
    <w:rsid w:val="005A0A10"/>
    <w:rsid w:val="005A5372"/>
    <w:rsid w:val="005B12A9"/>
    <w:rsid w:val="005B2F56"/>
    <w:rsid w:val="005C0206"/>
    <w:rsid w:val="005C6C69"/>
    <w:rsid w:val="005D1D89"/>
    <w:rsid w:val="005D3E77"/>
    <w:rsid w:val="005E15C2"/>
    <w:rsid w:val="005E1EFE"/>
    <w:rsid w:val="005E6656"/>
    <w:rsid w:val="005F6926"/>
    <w:rsid w:val="00600926"/>
    <w:rsid w:val="00603E61"/>
    <w:rsid w:val="00604296"/>
    <w:rsid w:val="006044F6"/>
    <w:rsid w:val="0061645D"/>
    <w:rsid w:val="00616BED"/>
    <w:rsid w:val="006208AC"/>
    <w:rsid w:val="00624A2B"/>
    <w:rsid w:val="00624B35"/>
    <w:rsid w:val="00624F24"/>
    <w:rsid w:val="00631B9C"/>
    <w:rsid w:val="00631DD5"/>
    <w:rsid w:val="00635765"/>
    <w:rsid w:val="00641042"/>
    <w:rsid w:val="006475A9"/>
    <w:rsid w:val="0065232B"/>
    <w:rsid w:val="00655B71"/>
    <w:rsid w:val="00661A85"/>
    <w:rsid w:val="00662BD5"/>
    <w:rsid w:val="006719DE"/>
    <w:rsid w:val="00684F1E"/>
    <w:rsid w:val="006858F7"/>
    <w:rsid w:val="00691712"/>
    <w:rsid w:val="00695A56"/>
    <w:rsid w:val="00695C24"/>
    <w:rsid w:val="006A2552"/>
    <w:rsid w:val="006A3856"/>
    <w:rsid w:val="006A4D51"/>
    <w:rsid w:val="006A5CCB"/>
    <w:rsid w:val="006B1038"/>
    <w:rsid w:val="006B7EFE"/>
    <w:rsid w:val="006C72ED"/>
    <w:rsid w:val="006D6CC8"/>
    <w:rsid w:val="006E1A64"/>
    <w:rsid w:val="006E61CF"/>
    <w:rsid w:val="006F3E20"/>
    <w:rsid w:val="00712481"/>
    <w:rsid w:val="0071386F"/>
    <w:rsid w:val="0072129D"/>
    <w:rsid w:val="007243E0"/>
    <w:rsid w:val="00730785"/>
    <w:rsid w:val="0074047B"/>
    <w:rsid w:val="00745AC3"/>
    <w:rsid w:val="007555F2"/>
    <w:rsid w:val="00783274"/>
    <w:rsid w:val="007843AD"/>
    <w:rsid w:val="00784978"/>
    <w:rsid w:val="007910A9"/>
    <w:rsid w:val="00794D01"/>
    <w:rsid w:val="00796AD0"/>
    <w:rsid w:val="007A2718"/>
    <w:rsid w:val="007A472F"/>
    <w:rsid w:val="007B71A5"/>
    <w:rsid w:val="007B7AE7"/>
    <w:rsid w:val="007C22BC"/>
    <w:rsid w:val="007C5168"/>
    <w:rsid w:val="007C67C8"/>
    <w:rsid w:val="007C781D"/>
    <w:rsid w:val="007D29FF"/>
    <w:rsid w:val="007D3C4E"/>
    <w:rsid w:val="007D4164"/>
    <w:rsid w:val="007D45C8"/>
    <w:rsid w:val="007D50E7"/>
    <w:rsid w:val="007D684B"/>
    <w:rsid w:val="007E23E9"/>
    <w:rsid w:val="007F142B"/>
    <w:rsid w:val="00807139"/>
    <w:rsid w:val="008138CF"/>
    <w:rsid w:val="00813BB7"/>
    <w:rsid w:val="008174D8"/>
    <w:rsid w:val="00831AEA"/>
    <w:rsid w:val="008333F5"/>
    <w:rsid w:val="00833F7E"/>
    <w:rsid w:val="008554D5"/>
    <w:rsid w:val="00857606"/>
    <w:rsid w:val="00861151"/>
    <w:rsid w:val="00862876"/>
    <w:rsid w:val="00873DD8"/>
    <w:rsid w:val="008756B3"/>
    <w:rsid w:val="00883D50"/>
    <w:rsid w:val="0089102B"/>
    <w:rsid w:val="0089137A"/>
    <w:rsid w:val="008926C7"/>
    <w:rsid w:val="00894437"/>
    <w:rsid w:val="008973D0"/>
    <w:rsid w:val="00897D95"/>
    <w:rsid w:val="008A1EC6"/>
    <w:rsid w:val="008A3C5F"/>
    <w:rsid w:val="008B0797"/>
    <w:rsid w:val="008B19F0"/>
    <w:rsid w:val="008B39A0"/>
    <w:rsid w:val="008B3A74"/>
    <w:rsid w:val="008D5BD9"/>
    <w:rsid w:val="008E1A96"/>
    <w:rsid w:val="008E51E2"/>
    <w:rsid w:val="008E7594"/>
    <w:rsid w:val="008F2D37"/>
    <w:rsid w:val="00901EBB"/>
    <w:rsid w:val="00911620"/>
    <w:rsid w:val="0091230B"/>
    <w:rsid w:val="00913A40"/>
    <w:rsid w:val="00930727"/>
    <w:rsid w:val="00934066"/>
    <w:rsid w:val="009465B1"/>
    <w:rsid w:val="0096215A"/>
    <w:rsid w:val="00966540"/>
    <w:rsid w:val="0096741D"/>
    <w:rsid w:val="009700C9"/>
    <w:rsid w:val="00970171"/>
    <w:rsid w:val="00970769"/>
    <w:rsid w:val="009770C4"/>
    <w:rsid w:val="0098318C"/>
    <w:rsid w:val="009834F6"/>
    <w:rsid w:val="0098391F"/>
    <w:rsid w:val="00986780"/>
    <w:rsid w:val="00986CD3"/>
    <w:rsid w:val="0099029E"/>
    <w:rsid w:val="009908E7"/>
    <w:rsid w:val="009934ED"/>
    <w:rsid w:val="00994C84"/>
    <w:rsid w:val="009A3F4B"/>
    <w:rsid w:val="009A5299"/>
    <w:rsid w:val="009A6127"/>
    <w:rsid w:val="009B22DE"/>
    <w:rsid w:val="009B2FCB"/>
    <w:rsid w:val="009D0AD0"/>
    <w:rsid w:val="009E7848"/>
    <w:rsid w:val="009F04B6"/>
    <w:rsid w:val="009F0A64"/>
    <w:rsid w:val="00A03AF3"/>
    <w:rsid w:val="00A20C1E"/>
    <w:rsid w:val="00A2197B"/>
    <w:rsid w:val="00A21D90"/>
    <w:rsid w:val="00A23459"/>
    <w:rsid w:val="00A33BAC"/>
    <w:rsid w:val="00A4399B"/>
    <w:rsid w:val="00A50911"/>
    <w:rsid w:val="00A60E59"/>
    <w:rsid w:val="00A64E0F"/>
    <w:rsid w:val="00A747E9"/>
    <w:rsid w:val="00A81F94"/>
    <w:rsid w:val="00A82966"/>
    <w:rsid w:val="00A840B8"/>
    <w:rsid w:val="00A8731F"/>
    <w:rsid w:val="00A92CDE"/>
    <w:rsid w:val="00A9628C"/>
    <w:rsid w:val="00A96393"/>
    <w:rsid w:val="00A963F6"/>
    <w:rsid w:val="00AA11E1"/>
    <w:rsid w:val="00AA30F2"/>
    <w:rsid w:val="00AA3D6B"/>
    <w:rsid w:val="00AA5FBB"/>
    <w:rsid w:val="00AA6EE4"/>
    <w:rsid w:val="00AB1982"/>
    <w:rsid w:val="00AB1D62"/>
    <w:rsid w:val="00AB58F3"/>
    <w:rsid w:val="00AC1E22"/>
    <w:rsid w:val="00AC5DE8"/>
    <w:rsid w:val="00AC75AF"/>
    <w:rsid w:val="00AD3321"/>
    <w:rsid w:val="00AE1014"/>
    <w:rsid w:val="00AE3CE7"/>
    <w:rsid w:val="00AF7175"/>
    <w:rsid w:val="00B00F1D"/>
    <w:rsid w:val="00B01319"/>
    <w:rsid w:val="00B0734D"/>
    <w:rsid w:val="00B129BA"/>
    <w:rsid w:val="00B23761"/>
    <w:rsid w:val="00B26356"/>
    <w:rsid w:val="00B31581"/>
    <w:rsid w:val="00B35662"/>
    <w:rsid w:val="00B51A94"/>
    <w:rsid w:val="00B52412"/>
    <w:rsid w:val="00B627C8"/>
    <w:rsid w:val="00B63B8C"/>
    <w:rsid w:val="00B66E3A"/>
    <w:rsid w:val="00B76F4D"/>
    <w:rsid w:val="00B80DBC"/>
    <w:rsid w:val="00B835C3"/>
    <w:rsid w:val="00B862D0"/>
    <w:rsid w:val="00B93AE9"/>
    <w:rsid w:val="00B965EB"/>
    <w:rsid w:val="00BA073E"/>
    <w:rsid w:val="00BA49FD"/>
    <w:rsid w:val="00BB18FD"/>
    <w:rsid w:val="00BB1E18"/>
    <w:rsid w:val="00BB5CDC"/>
    <w:rsid w:val="00BB650D"/>
    <w:rsid w:val="00BC052D"/>
    <w:rsid w:val="00BC1607"/>
    <w:rsid w:val="00BC29DD"/>
    <w:rsid w:val="00BC34A0"/>
    <w:rsid w:val="00BD17A7"/>
    <w:rsid w:val="00BD66CF"/>
    <w:rsid w:val="00C06963"/>
    <w:rsid w:val="00C132F2"/>
    <w:rsid w:val="00C14390"/>
    <w:rsid w:val="00C265C9"/>
    <w:rsid w:val="00C37361"/>
    <w:rsid w:val="00C4286C"/>
    <w:rsid w:val="00C429DE"/>
    <w:rsid w:val="00C44AE1"/>
    <w:rsid w:val="00C51382"/>
    <w:rsid w:val="00C54938"/>
    <w:rsid w:val="00C60C00"/>
    <w:rsid w:val="00C60F64"/>
    <w:rsid w:val="00C66C2F"/>
    <w:rsid w:val="00C67E01"/>
    <w:rsid w:val="00C67F00"/>
    <w:rsid w:val="00C7594E"/>
    <w:rsid w:val="00C84F9A"/>
    <w:rsid w:val="00C85423"/>
    <w:rsid w:val="00CA18F4"/>
    <w:rsid w:val="00CA69A9"/>
    <w:rsid w:val="00CB79F6"/>
    <w:rsid w:val="00CC115E"/>
    <w:rsid w:val="00CC418A"/>
    <w:rsid w:val="00CD150F"/>
    <w:rsid w:val="00CD5893"/>
    <w:rsid w:val="00CD7348"/>
    <w:rsid w:val="00CE51AB"/>
    <w:rsid w:val="00CF7DB5"/>
    <w:rsid w:val="00D11902"/>
    <w:rsid w:val="00D14FF3"/>
    <w:rsid w:val="00D21F32"/>
    <w:rsid w:val="00D35B7A"/>
    <w:rsid w:val="00D40DEC"/>
    <w:rsid w:val="00D418CF"/>
    <w:rsid w:val="00D47A6B"/>
    <w:rsid w:val="00D51100"/>
    <w:rsid w:val="00D51B1B"/>
    <w:rsid w:val="00D54A39"/>
    <w:rsid w:val="00D63821"/>
    <w:rsid w:val="00D63C47"/>
    <w:rsid w:val="00D674DD"/>
    <w:rsid w:val="00D72679"/>
    <w:rsid w:val="00D73643"/>
    <w:rsid w:val="00D940F6"/>
    <w:rsid w:val="00D97C3B"/>
    <w:rsid w:val="00DA1A91"/>
    <w:rsid w:val="00DA27B3"/>
    <w:rsid w:val="00DA4B74"/>
    <w:rsid w:val="00DA611B"/>
    <w:rsid w:val="00DB1C10"/>
    <w:rsid w:val="00DB2DFB"/>
    <w:rsid w:val="00DB5B1E"/>
    <w:rsid w:val="00DC0460"/>
    <w:rsid w:val="00DC0C0E"/>
    <w:rsid w:val="00DC36F6"/>
    <w:rsid w:val="00DC72E9"/>
    <w:rsid w:val="00DC7628"/>
    <w:rsid w:val="00DD65F5"/>
    <w:rsid w:val="00DD674D"/>
    <w:rsid w:val="00DE58DC"/>
    <w:rsid w:val="00DF12C4"/>
    <w:rsid w:val="00DF46B4"/>
    <w:rsid w:val="00DF5614"/>
    <w:rsid w:val="00E00099"/>
    <w:rsid w:val="00E04390"/>
    <w:rsid w:val="00E237DA"/>
    <w:rsid w:val="00E34128"/>
    <w:rsid w:val="00E408EE"/>
    <w:rsid w:val="00E43A08"/>
    <w:rsid w:val="00E45598"/>
    <w:rsid w:val="00E519FF"/>
    <w:rsid w:val="00E51EA3"/>
    <w:rsid w:val="00E520E6"/>
    <w:rsid w:val="00E52ED1"/>
    <w:rsid w:val="00E54D4D"/>
    <w:rsid w:val="00E56CAB"/>
    <w:rsid w:val="00E711E6"/>
    <w:rsid w:val="00E723F4"/>
    <w:rsid w:val="00E77C68"/>
    <w:rsid w:val="00E77CCA"/>
    <w:rsid w:val="00E815D9"/>
    <w:rsid w:val="00E86CC6"/>
    <w:rsid w:val="00E906BC"/>
    <w:rsid w:val="00E91DA9"/>
    <w:rsid w:val="00E93107"/>
    <w:rsid w:val="00E96806"/>
    <w:rsid w:val="00EA4BC1"/>
    <w:rsid w:val="00EB4616"/>
    <w:rsid w:val="00EB4DD7"/>
    <w:rsid w:val="00EB52D4"/>
    <w:rsid w:val="00EB76FC"/>
    <w:rsid w:val="00EC0706"/>
    <w:rsid w:val="00EC5D6A"/>
    <w:rsid w:val="00ED1573"/>
    <w:rsid w:val="00ED1CD9"/>
    <w:rsid w:val="00EE4567"/>
    <w:rsid w:val="00F00331"/>
    <w:rsid w:val="00F040EF"/>
    <w:rsid w:val="00F04562"/>
    <w:rsid w:val="00F07264"/>
    <w:rsid w:val="00F13BF5"/>
    <w:rsid w:val="00F14551"/>
    <w:rsid w:val="00F16774"/>
    <w:rsid w:val="00F178D8"/>
    <w:rsid w:val="00F2040A"/>
    <w:rsid w:val="00F2096F"/>
    <w:rsid w:val="00F2124B"/>
    <w:rsid w:val="00F3199B"/>
    <w:rsid w:val="00F331AF"/>
    <w:rsid w:val="00F46F7E"/>
    <w:rsid w:val="00F4789D"/>
    <w:rsid w:val="00F5040D"/>
    <w:rsid w:val="00F6116E"/>
    <w:rsid w:val="00F61DB7"/>
    <w:rsid w:val="00F675D5"/>
    <w:rsid w:val="00F7453D"/>
    <w:rsid w:val="00F87F7E"/>
    <w:rsid w:val="00F96AD0"/>
    <w:rsid w:val="00FA149E"/>
    <w:rsid w:val="00FA6DB4"/>
    <w:rsid w:val="00FB091B"/>
    <w:rsid w:val="00FB4384"/>
    <w:rsid w:val="00FB68FC"/>
    <w:rsid w:val="00FC14D7"/>
    <w:rsid w:val="00FD00EF"/>
    <w:rsid w:val="00FD4011"/>
    <w:rsid w:val="00FD4F5E"/>
    <w:rsid w:val="00FE277A"/>
    <w:rsid w:val="00FF12D2"/>
    <w:rsid w:val="00FF2A3C"/>
    <w:rsid w:val="00FF5757"/>
    <w:rsid w:val="00FF5F4E"/>
    <w:rsid w:val="06EBCEDA"/>
    <w:rsid w:val="5AD43551"/>
    <w:rsid w:val="6C767920"/>
    <w:rsid w:val="701A00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2564436-9D8A-445B-BEC7-0BC7480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7B"/>
    <w:pPr>
      <w:spacing w:after="200" w:line="276" w:lineRule="auto"/>
    </w:pPr>
    <w:rPr>
      <w:sz w:val="26"/>
      <w:szCs w:val="22"/>
    </w:rPr>
  </w:style>
  <w:style w:type="paragraph" w:styleId="Heading1">
    <w:name w:val="heading 1"/>
    <w:basedOn w:val="Normal"/>
    <w:next w:val="Normal"/>
    <w:link w:val="Heading1Char"/>
    <w:uiPriority w:val="9"/>
    <w:qFormat/>
    <w:rsid w:val="00154904"/>
    <w:pPr>
      <w:keepNext/>
      <w:keepLines/>
      <w:spacing w:before="360" w:after="36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A11E1"/>
    <w:pPr>
      <w:keepNext/>
      <w:keepLines/>
      <w:spacing w:before="240" w:after="240" w:line="240" w:lineRule="auto"/>
      <w:outlineLvl w:val="1"/>
    </w:pPr>
    <w:rPr>
      <w:rFonts w:ascii="Cambria" w:hAnsi="Cambria"/>
      <w:b/>
      <w:bCs/>
      <w:color w:val="4F81BD"/>
      <w:szCs w:val="26"/>
    </w:rPr>
  </w:style>
  <w:style w:type="paragraph" w:styleId="Heading3">
    <w:name w:val="heading 3"/>
    <w:basedOn w:val="Normal"/>
    <w:next w:val="Normal"/>
    <w:link w:val="Heading3Char"/>
    <w:uiPriority w:val="9"/>
    <w:unhideWhenUsed/>
    <w:qFormat/>
    <w:rsid w:val="00AB58F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2124B"/>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E0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67E01"/>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54904"/>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410AF7"/>
    <w:pPr>
      <w:numPr>
        <w:numId w:val="1"/>
      </w:numPr>
      <w:spacing w:before="120" w:after="120" w:line="240" w:lineRule="auto"/>
      <w:ind w:left="851" w:hanging="851"/>
    </w:pPr>
    <w:rPr>
      <w:szCs w:val="26"/>
    </w:rPr>
  </w:style>
  <w:style w:type="character" w:styleId="Strong">
    <w:name w:val="Strong"/>
    <w:uiPriority w:val="22"/>
    <w:qFormat/>
    <w:rsid w:val="00D73643"/>
    <w:rPr>
      <w:b/>
      <w:bCs/>
    </w:rPr>
  </w:style>
  <w:style w:type="paragraph" w:styleId="NormalWeb">
    <w:name w:val="Normal (Web)"/>
    <w:basedOn w:val="Normal"/>
    <w:uiPriority w:val="99"/>
    <w:semiHidden/>
    <w:unhideWhenUsed/>
    <w:rsid w:val="00D73643"/>
    <w:pPr>
      <w:spacing w:after="134" w:line="240" w:lineRule="auto"/>
    </w:pPr>
    <w:rPr>
      <w:rFonts w:ascii="Times New Roman" w:hAnsi="Times New Roman"/>
      <w:sz w:val="24"/>
      <w:szCs w:val="24"/>
    </w:rPr>
  </w:style>
  <w:style w:type="character" w:customStyle="1" w:styleId="Heading2Char">
    <w:name w:val="Heading 2 Char"/>
    <w:link w:val="Heading2"/>
    <w:uiPriority w:val="9"/>
    <w:rsid w:val="00AA11E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B58F3"/>
    <w:rPr>
      <w:rFonts w:ascii="Cambria" w:eastAsia="Times New Roman" w:hAnsi="Cambria" w:cs="Times New Roman"/>
      <w:b/>
      <w:bCs/>
      <w:color w:val="4F81BD"/>
    </w:rPr>
  </w:style>
  <w:style w:type="character" w:styleId="CommentReference">
    <w:name w:val="annotation reference"/>
    <w:uiPriority w:val="99"/>
    <w:semiHidden/>
    <w:unhideWhenUsed/>
    <w:rsid w:val="001B5BCE"/>
    <w:rPr>
      <w:sz w:val="16"/>
      <w:szCs w:val="16"/>
    </w:rPr>
  </w:style>
  <w:style w:type="paragraph" w:styleId="CommentText">
    <w:name w:val="annotation text"/>
    <w:basedOn w:val="Normal"/>
    <w:link w:val="CommentTextChar"/>
    <w:uiPriority w:val="99"/>
    <w:semiHidden/>
    <w:unhideWhenUsed/>
    <w:rsid w:val="001B5BCE"/>
    <w:pPr>
      <w:spacing w:line="240" w:lineRule="auto"/>
    </w:pPr>
    <w:rPr>
      <w:sz w:val="20"/>
      <w:szCs w:val="20"/>
    </w:rPr>
  </w:style>
  <w:style w:type="character" w:customStyle="1" w:styleId="CommentTextChar">
    <w:name w:val="Comment Text Char"/>
    <w:link w:val="CommentText"/>
    <w:uiPriority w:val="99"/>
    <w:semiHidden/>
    <w:rsid w:val="001B5BCE"/>
    <w:rPr>
      <w:sz w:val="20"/>
      <w:szCs w:val="20"/>
    </w:rPr>
  </w:style>
  <w:style w:type="paragraph" w:styleId="CommentSubject">
    <w:name w:val="annotation subject"/>
    <w:basedOn w:val="CommentText"/>
    <w:next w:val="CommentText"/>
    <w:link w:val="CommentSubjectChar"/>
    <w:uiPriority w:val="99"/>
    <w:semiHidden/>
    <w:unhideWhenUsed/>
    <w:rsid w:val="001B5BCE"/>
    <w:rPr>
      <w:b/>
      <w:bCs/>
    </w:rPr>
  </w:style>
  <w:style w:type="character" w:customStyle="1" w:styleId="CommentSubjectChar">
    <w:name w:val="Comment Subject Char"/>
    <w:link w:val="CommentSubject"/>
    <w:uiPriority w:val="99"/>
    <w:semiHidden/>
    <w:rsid w:val="001B5BCE"/>
    <w:rPr>
      <w:b/>
      <w:bCs/>
      <w:sz w:val="20"/>
      <w:szCs w:val="20"/>
    </w:rPr>
  </w:style>
  <w:style w:type="paragraph" w:styleId="BalloonText">
    <w:name w:val="Balloon Text"/>
    <w:basedOn w:val="Normal"/>
    <w:link w:val="BalloonTextChar"/>
    <w:uiPriority w:val="99"/>
    <w:semiHidden/>
    <w:unhideWhenUsed/>
    <w:rsid w:val="001B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5BCE"/>
    <w:rPr>
      <w:rFonts w:ascii="Tahoma" w:hAnsi="Tahoma" w:cs="Tahoma"/>
      <w:sz w:val="16"/>
      <w:szCs w:val="16"/>
    </w:rPr>
  </w:style>
  <w:style w:type="table" w:styleId="TableGrid">
    <w:name w:val="Table Grid"/>
    <w:basedOn w:val="TableNormal"/>
    <w:uiPriority w:val="59"/>
    <w:rsid w:val="00F47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11">
    <w:name w:val="Medium Shading 2 - Accent 11"/>
    <w:basedOn w:val="TableNormal"/>
    <w:uiPriority w:val="64"/>
    <w:rsid w:val="00F47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5C020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E408EE"/>
    <w:pPr>
      <w:outlineLvl w:val="9"/>
    </w:pPr>
    <w:rPr>
      <w:lang w:val="en-US" w:eastAsia="en-US"/>
    </w:rPr>
  </w:style>
  <w:style w:type="paragraph" w:styleId="TOC1">
    <w:name w:val="toc 1"/>
    <w:basedOn w:val="ListParagraph"/>
    <w:next w:val="Normal"/>
    <w:autoRedefine/>
    <w:uiPriority w:val="39"/>
    <w:unhideWhenUsed/>
    <w:rsid w:val="00BB650D"/>
    <w:pPr>
      <w:numPr>
        <w:numId w:val="0"/>
      </w:numPr>
      <w:tabs>
        <w:tab w:val="right" w:leader="dot" w:pos="9016"/>
      </w:tabs>
    </w:pPr>
  </w:style>
  <w:style w:type="paragraph" w:styleId="TOC2">
    <w:name w:val="toc 2"/>
    <w:basedOn w:val="Normal"/>
    <w:next w:val="Normal"/>
    <w:autoRedefine/>
    <w:uiPriority w:val="39"/>
    <w:unhideWhenUsed/>
    <w:rsid w:val="00E408EE"/>
    <w:pPr>
      <w:spacing w:after="100"/>
      <w:ind w:left="220"/>
    </w:pPr>
  </w:style>
  <w:style w:type="paragraph" w:styleId="TOC3">
    <w:name w:val="toc 3"/>
    <w:basedOn w:val="Normal"/>
    <w:next w:val="Normal"/>
    <w:autoRedefine/>
    <w:uiPriority w:val="39"/>
    <w:unhideWhenUsed/>
    <w:rsid w:val="00E408EE"/>
    <w:pPr>
      <w:spacing w:after="100"/>
      <w:ind w:left="440"/>
    </w:pPr>
  </w:style>
  <w:style w:type="character" w:styleId="Hyperlink">
    <w:name w:val="Hyperlink"/>
    <w:uiPriority w:val="99"/>
    <w:unhideWhenUsed/>
    <w:rsid w:val="00E408EE"/>
    <w:rPr>
      <w:color w:val="0000FF"/>
      <w:u w:val="single"/>
    </w:rPr>
  </w:style>
  <w:style w:type="paragraph" w:styleId="FootnoteText">
    <w:name w:val="footnote text"/>
    <w:basedOn w:val="Normal"/>
    <w:link w:val="FootnoteTextChar"/>
    <w:uiPriority w:val="99"/>
    <w:semiHidden/>
    <w:unhideWhenUsed/>
    <w:rsid w:val="00EE4567"/>
    <w:pPr>
      <w:spacing w:after="0" w:line="240" w:lineRule="auto"/>
    </w:pPr>
    <w:rPr>
      <w:sz w:val="20"/>
      <w:szCs w:val="20"/>
    </w:rPr>
  </w:style>
  <w:style w:type="character" w:customStyle="1" w:styleId="FootnoteTextChar">
    <w:name w:val="Footnote Text Char"/>
    <w:link w:val="FootnoteText"/>
    <w:uiPriority w:val="99"/>
    <w:semiHidden/>
    <w:rsid w:val="00EE4567"/>
    <w:rPr>
      <w:sz w:val="20"/>
      <w:szCs w:val="20"/>
    </w:rPr>
  </w:style>
  <w:style w:type="character" w:styleId="FootnoteReference">
    <w:name w:val="footnote reference"/>
    <w:uiPriority w:val="99"/>
    <w:semiHidden/>
    <w:unhideWhenUsed/>
    <w:rsid w:val="00EE4567"/>
    <w:rPr>
      <w:vertAlign w:val="superscript"/>
    </w:rPr>
  </w:style>
  <w:style w:type="paragraph" w:styleId="Revision">
    <w:name w:val="Revision"/>
    <w:hidden/>
    <w:uiPriority w:val="99"/>
    <w:semiHidden/>
    <w:rsid w:val="00C265C9"/>
    <w:rPr>
      <w:sz w:val="22"/>
      <w:szCs w:val="22"/>
    </w:rPr>
  </w:style>
  <w:style w:type="paragraph" w:styleId="Header">
    <w:name w:val="header"/>
    <w:basedOn w:val="Normal"/>
    <w:link w:val="HeaderChar"/>
    <w:uiPriority w:val="99"/>
    <w:unhideWhenUsed/>
    <w:rsid w:val="00C2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C9"/>
  </w:style>
  <w:style w:type="paragraph" w:styleId="Footer">
    <w:name w:val="footer"/>
    <w:basedOn w:val="Normal"/>
    <w:link w:val="FooterChar"/>
    <w:uiPriority w:val="99"/>
    <w:unhideWhenUsed/>
    <w:rsid w:val="00C2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C9"/>
  </w:style>
  <w:style w:type="paragraph" w:customStyle="1" w:styleId="Default">
    <w:name w:val="Default"/>
    <w:rsid w:val="00BC29D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10AF7"/>
    <w:rPr>
      <w:sz w:val="26"/>
      <w:szCs w:val="26"/>
    </w:rPr>
  </w:style>
  <w:style w:type="paragraph" w:customStyle="1" w:styleId="BulletLevelParagraph">
    <w:name w:val="Bullet Level Paragraph"/>
    <w:basedOn w:val="ListParagraph"/>
    <w:link w:val="BulletLevelParagraphChar"/>
    <w:qFormat/>
    <w:rsid w:val="00DE58DC"/>
    <w:pPr>
      <w:numPr>
        <w:numId w:val="43"/>
      </w:numPr>
      <w:ind w:left="1135" w:hanging="284"/>
      <w:jc w:val="both"/>
    </w:pPr>
  </w:style>
  <w:style w:type="character" w:customStyle="1" w:styleId="BulletLevelParagraphChar">
    <w:name w:val="Bullet Level Paragraph Char"/>
    <w:link w:val="BulletLevelParagraph"/>
    <w:rsid w:val="00DE58DC"/>
    <w:rPr>
      <w:sz w:val="26"/>
      <w:szCs w:val="26"/>
    </w:rPr>
  </w:style>
  <w:style w:type="paragraph" w:customStyle="1" w:styleId="Style2">
    <w:name w:val="Style 2"/>
    <w:basedOn w:val="BulletLevelParagraph"/>
    <w:qFormat/>
    <w:rsid w:val="00796AD0"/>
    <w:pPr>
      <w:ind w:left="1418"/>
    </w:pPr>
  </w:style>
  <w:style w:type="paragraph" w:customStyle="1" w:styleId="BulletParagraphs">
    <w:name w:val="Bullet Paragraphs"/>
    <w:basedOn w:val="ListParagraph"/>
    <w:link w:val="BulletParagraphsChar"/>
    <w:qFormat/>
    <w:rsid w:val="00AA11E1"/>
    <w:pPr>
      <w:numPr>
        <w:ilvl w:val="3"/>
        <w:numId w:val="41"/>
      </w:numPr>
      <w:ind w:left="284" w:hanging="284"/>
    </w:pPr>
    <w:rPr>
      <w:sz w:val="22"/>
      <w:szCs w:val="22"/>
    </w:rPr>
  </w:style>
  <w:style w:type="table" w:styleId="GridTable5Dark-Accent1">
    <w:name w:val="Grid Table 5 Dark Accent 1"/>
    <w:basedOn w:val="TableNormal"/>
    <w:uiPriority w:val="50"/>
    <w:rsid w:val="001578F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BulletParagraphsChar">
    <w:name w:val="Bullet Paragraphs Char"/>
    <w:link w:val="BulletParagraphs"/>
    <w:rsid w:val="00AA11E1"/>
    <w:rPr>
      <w:rFonts w:ascii="Calibri" w:hAnsi="Calibri"/>
      <w:sz w:val="26"/>
      <w:szCs w:val="26"/>
    </w:rPr>
  </w:style>
  <w:style w:type="table" w:styleId="GridTable4-Accent1">
    <w:name w:val="Grid Table 4 Accent 1"/>
    <w:basedOn w:val="TableNormal"/>
    <w:uiPriority w:val="49"/>
    <w:rsid w:val="004C32A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OC4">
    <w:name w:val="toc 4"/>
    <w:basedOn w:val="Normal"/>
    <w:next w:val="Normal"/>
    <w:autoRedefine/>
    <w:uiPriority w:val="39"/>
    <w:unhideWhenUsed/>
    <w:rsid w:val="00160EF2"/>
    <w:pPr>
      <w:spacing w:after="100" w:line="259" w:lineRule="auto"/>
      <w:ind w:left="660"/>
    </w:pPr>
  </w:style>
  <w:style w:type="paragraph" w:styleId="TOC5">
    <w:name w:val="toc 5"/>
    <w:basedOn w:val="Normal"/>
    <w:next w:val="Normal"/>
    <w:autoRedefine/>
    <w:uiPriority w:val="39"/>
    <w:unhideWhenUsed/>
    <w:rsid w:val="00160EF2"/>
    <w:pPr>
      <w:spacing w:after="100" w:line="259" w:lineRule="auto"/>
      <w:ind w:left="880"/>
    </w:pPr>
  </w:style>
  <w:style w:type="paragraph" w:styleId="TOC6">
    <w:name w:val="toc 6"/>
    <w:basedOn w:val="Normal"/>
    <w:next w:val="Normal"/>
    <w:autoRedefine/>
    <w:uiPriority w:val="39"/>
    <w:unhideWhenUsed/>
    <w:rsid w:val="00160EF2"/>
    <w:pPr>
      <w:spacing w:after="100" w:line="259" w:lineRule="auto"/>
      <w:ind w:left="1100"/>
    </w:pPr>
  </w:style>
  <w:style w:type="paragraph" w:styleId="TOC7">
    <w:name w:val="toc 7"/>
    <w:basedOn w:val="Normal"/>
    <w:next w:val="Normal"/>
    <w:autoRedefine/>
    <w:uiPriority w:val="39"/>
    <w:unhideWhenUsed/>
    <w:rsid w:val="00160EF2"/>
    <w:pPr>
      <w:spacing w:after="100" w:line="259" w:lineRule="auto"/>
      <w:ind w:left="1320"/>
    </w:pPr>
  </w:style>
  <w:style w:type="paragraph" w:styleId="TOC8">
    <w:name w:val="toc 8"/>
    <w:basedOn w:val="Normal"/>
    <w:next w:val="Normal"/>
    <w:autoRedefine/>
    <w:uiPriority w:val="39"/>
    <w:unhideWhenUsed/>
    <w:rsid w:val="00160EF2"/>
    <w:pPr>
      <w:spacing w:after="100" w:line="259" w:lineRule="auto"/>
      <w:ind w:left="1540"/>
    </w:pPr>
  </w:style>
  <w:style w:type="paragraph" w:styleId="TOC9">
    <w:name w:val="toc 9"/>
    <w:basedOn w:val="Normal"/>
    <w:next w:val="Normal"/>
    <w:autoRedefine/>
    <w:uiPriority w:val="39"/>
    <w:unhideWhenUsed/>
    <w:rsid w:val="00160EF2"/>
    <w:pPr>
      <w:spacing w:after="100" w:line="259" w:lineRule="auto"/>
      <w:ind w:left="1760"/>
    </w:pPr>
  </w:style>
  <w:style w:type="character" w:customStyle="1" w:styleId="Heading4Char">
    <w:name w:val="Heading 4 Char"/>
    <w:link w:val="Heading4"/>
    <w:uiPriority w:val="9"/>
    <w:rsid w:val="00F2124B"/>
    <w:rPr>
      <w:rFonts w:ascii="Cambria" w:eastAsia="Times New Roman" w:hAnsi="Cambria" w:cs="Times New Roman"/>
      <w:i/>
      <w:i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99">
      <w:bodyDiv w:val="1"/>
      <w:marLeft w:val="0"/>
      <w:marRight w:val="0"/>
      <w:marTop w:val="0"/>
      <w:marBottom w:val="0"/>
      <w:divBdr>
        <w:top w:val="none" w:sz="0" w:space="0" w:color="auto"/>
        <w:left w:val="none" w:sz="0" w:space="0" w:color="auto"/>
        <w:bottom w:val="none" w:sz="0" w:space="0" w:color="auto"/>
        <w:right w:val="none" w:sz="0" w:space="0" w:color="auto"/>
      </w:divBdr>
    </w:div>
    <w:div w:id="67267225">
      <w:bodyDiv w:val="1"/>
      <w:marLeft w:val="0"/>
      <w:marRight w:val="0"/>
      <w:marTop w:val="0"/>
      <w:marBottom w:val="0"/>
      <w:divBdr>
        <w:top w:val="none" w:sz="0" w:space="0" w:color="auto"/>
        <w:left w:val="none" w:sz="0" w:space="0" w:color="auto"/>
        <w:bottom w:val="none" w:sz="0" w:space="0" w:color="auto"/>
        <w:right w:val="none" w:sz="0" w:space="0" w:color="auto"/>
      </w:divBdr>
    </w:div>
    <w:div w:id="136605012">
      <w:bodyDiv w:val="1"/>
      <w:marLeft w:val="0"/>
      <w:marRight w:val="0"/>
      <w:marTop w:val="0"/>
      <w:marBottom w:val="0"/>
      <w:divBdr>
        <w:top w:val="none" w:sz="0" w:space="0" w:color="auto"/>
        <w:left w:val="none" w:sz="0" w:space="0" w:color="auto"/>
        <w:bottom w:val="none" w:sz="0" w:space="0" w:color="auto"/>
        <w:right w:val="none" w:sz="0" w:space="0" w:color="auto"/>
      </w:divBdr>
      <w:divsChild>
        <w:div w:id="1042903245">
          <w:marLeft w:val="0"/>
          <w:marRight w:val="0"/>
          <w:marTop w:val="0"/>
          <w:marBottom w:val="0"/>
          <w:divBdr>
            <w:top w:val="none" w:sz="0" w:space="0" w:color="auto"/>
            <w:left w:val="none" w:sz="0" w:space="0" w:color="auto"/>
            <w:bottom w:val="none" w:sz="0" w:space="0" w:color="auto"/>
            <w:right w:val="none" w:sz="0" w:space="0" w:color="auto"/>
          </w:divBdr>
          <w:divsChild>
            <w:div w:id="1477335978">
              <w:marLeft w:val="0"/>
              <w:marRight w:val="0"/>
              <w:marTop w:val="0"/>
              <w:marBottom w:val="0"/>
              <w:divBdr>
                <w:top w:val="none" w:sz="0" w:space="0" w:color="auto"/>
                <w:left w:val="none" w:sz="0" w:space="0" w:color="auto"/>
                <w:bottom w:val="none" w:sz="0" w:space="0" w:color="auto"/>
                <w:right w:val="none" w:sz="0" w:space="0" w:color="auto"/>
              </w:divBdr>
              <w:divsChild>
                <w:div w:id="763847075">
                  <w:marLeft w:val="0"/>
                  <w:marRight w:val="0"/>
                  <w:marTop w:val="0"/>
                  <w:marBottom w:val="0"/>
                  <w:divBdr>
                    <w:top w:val="none" w:sz="0" w:space="0" w:color="auto"/>
                    <w:left w:val="none" w:sz="0" w:space="0" w:color="auto"/>
                    <w:bottom w:val="none" w:sz="0" w:space="0" w:color="auto"/>
                    <w:right w:val="none" w:sz="0" w:space="0" w:color="auto"/>
                  </w:divBdr>
                  <w:divsChild>
                    <w:div w:id="1936203396">
                      <w:marLeft w:val="0"/>
                      <w:marRight w:val="0"/>
                      <w:marTop w:val="0"/>
                      <w:marBottom w:val="0"/>
                      <w:divBdr>
                        <w:top w:val="none" w:sz="0" w:space="0" w:color="auto"/>
                        <w:left w:val="none" w:sz="0" w:space="0" w:color="auto"/>
                        <w:bottom w:val="none" w:sz="0" w:space="0" w:color="auto"/>
                        <w:right w:val="none" w:sz="0" w:space="0" w:color="auto"/>
                      </w:divBdr>
                      <w:divsChild>
                        <w:div w:id="128742197">
                          <w:marLeft w:val="0"/>
                          <w:marRight w:val="0"/>
                          <w:marTop w:val="0"/>
                          <w:marBottom w:val="0"/>
                          <w:divBdr>
                            <w:top w:val="none" w:sz="0" w:space="0" w:color="auto"/>
                            <w:left w:val="none" w:sz="0" w:space="0" w:color="auto"/>
                            <w:bottom w:val="none" w:sz="0" w:space="0" w:color="auto"/>
                            <w:right w:val="none" w:sz="0" w:space="0" w:color="auto"/>
                          </w:divBdr>
                          <w:divsChild>
                            <w:div w:id="312607217">
                              <w:marLeft w:val="0"/>
                              <w:marRight w:val="0"/>
                              <w:marTop w:val="0"/>
                              <w:marBottom w:val="0"/>
                              <w:divBdr>
                                <w:top w:val="none" w:sz="0" w:space="0" w:color="auto"/>
                                <w:left w:val="none" w:sz="0" w:space="0" w:color="auto"/>
                                <w:bottom w:val="none" w:sz="0" w:space="0" w:color="auto"/>
                                <w:right w:val="none" w:sz="0" w:space="0" w:color="auto"/>
                              </w:divBdr>
                              <w:divsChild>
                                <w:div w:id="1301305928">
                                  <w:marLeft w:val="0"/>
                                  <w:marRight w:val="0"/>
                                  <w:marTop w:val="0"/>
                                  <w:marBottom w:val="0"/>
                                  <w:divBdr>
                                    <w:top w:val="none" w:sz="0" w:space="0" w:color="auto"/>
                                    <w:left w:val="none" w:sz="0" w:space="0" w:color="auto"/>
                                    <w:bottom w:val="none" w:sz="0" w:space="0" w:color="auto"/>
                                    <w:right w:val="none" w:sz="0" w:space="0" w:color="auto"/>
                                  </w:divBdr>
                                  <w:divsChild>
                                    <w:div w:id="1601715229">
                                      <w:marLeft w:val="0"/>
                                      <w:marRight w:val="0"/>
                                      <w:marTop w:val="0"/>
                                      <w:marBottom w:val="0"/>
                                      <w:divBdr>
                                        <w:top w:val="none" w:sz="0" w:space="0" w:color="auto"/>
                                        <w:left w:val="none" w:sz="0" w:space="0" w:color="auto"/>
                                        <w:bottom w:val="none" w:sz="0" w:space="0" w:color="auto"/>
                                        <w:right w:val="none" w:sz="0" w:space="0" w:color="auto"/>
                                      </w:divBdr>
                                      <w:divsChild>
                                        <w:div w:id="1548956291">
                                          <w:marLeft w:val="0"/>
                                          <w:marRight w:val="0"/>
                                          <w:marTop w:val="0"/>
                                          <w:marBottom w:val="0"/>
                                          <w:divBdr>
                                            <w:top w:val="none" w:sz="0" w:space="0" w:color="auto"/>
                                            <w:left w:val="none" w:sz="0" w:space="0" w:color="auto"/>
                                            <w:bottom w:val="none" w:sz="0" w:space="0" w:color="auto"/>
                                            <w:right w:val="none" w:sz="0" w:space="0" w:color="auto"/>
                                          </w:divBdr>
                                          <w:divsChild>
                                            <w:div w:id="572475936">
                                              <w:marLeft w:val="0"/>
                                              <w:marRight w:val="0"/>
                                              <w:marTop w:val="0"/>
                                              <w:marBottom w:val="0"/>
                                              <w:divBdr>
                                                <w:top w:val="none" w:sz="0" w:space="0" w:color="auto"/>
                                                <w:left w:val="none" w:sz="0" w:space="0" w:color="auto"/>
                                                <w:bottom w:val="none" w:sz="0" w:space="0" w:color="auto"/>
                                                <w:right w:val="none" w:sz="0" w:space="0" w:color="auto"/>
                                              </w:divBdr>
                                              <w:divsChild>
                                                <w:div w:id="974215659">
                                                  <w:marLeft w:val="0"/>
                                                  <w:marRight w:val="0"/>
                                                  <w:marTop w:val="0"/>
                                                  <w:marBottom w:val="0"/>
                                                  <w:divBdr>
                                                    <w:top w:val="none" w:sz="0" w:space="0" w:color="auto"/>
                                                    <w:left w:val="none" w:sz="0" w:space="0" w:color="auto"/>
                                                    <w:bottom w:val="none" w:sz="0" w:space="0" w:color="auto"/>
                                                    <w:right w:val="none" w:sz="0" w:space="0" w:color="auto"/>
                                                  </w:divBdr>
                                                  <w:divsChild>
                                                    <w:div w:id="1553349164">
                                                      <w:marLeft w:val="0"/>
                                                      <w:marRight w:val="0"/>
                                                      <w:marTop w:val="0"/>
                                                      <w:marBottom w:val="0"/>
                                                      <w:divBdr>
                                                        <w:top w:val="none" w:sz="0" w:space="0" w:color="auto"/>
                                                        <w:left w:val="none" w:sz="0" w:space="0" w:color="auto"/>
                                                        <w:bottom w:val="none" w:sz="0" w:space="0" w:color="auto"/>
                                                        <w:right w:val="none" w:sz="0" w:space="0" w:color="auto"/>
                                                      </w:divBdr>
                                                      <w:divsChild>
                                                        <w:div w:id="14825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9949">
      <w:bodyDiv w:val="1"/>
      <w:marLeft w:val="0"/>
      <w:marRight w:val="0"/>
      <w:marTop w:val="0"/>
      <w:marBottom w:val="0"/>
      <w:divBdr>
        <w:top w:val="none" w:sz="0" w:space="0" w:color="auto"/>
        <w:left w:val="none" w:sz="0" w:space="0" w:color="auto"/>
        <w:bottom w:val="none" w:sz="0" w:space="0" w:color="auto"/>
        <w:right w:val="none" w:sz="0" w:space="0" w:color="auto"/>
      </w:divBdr>
    </w:div>
    <w:div w:id="278799761">
      <w:bodyDiv w:val="1"/>
      <w:marLeft w:val="0"/>
      <w:marRight w:val="0"/>
      <w:marTop w:val="0"/>
      <w:marBottom w:val="0"/>
      <w:divBdr>
        <w:top w:val="none" w:sz="0" w:space="0" w:color="auto"/>
        <w:left w:val="none" w:sz="0" w:space="0" w:color="auto"/>
        <w:bottom w:val="none" w:sz="0" w:space="0" w:color="auto"/>
        <w:right w:val="none" w:sz="0" w:space="0" w:color="auto"/>
      </w:divBdr>
    </w:div>
    <w:div w:id="319043343">
      <w:bodyDiv w:val="1"/>
      <w:marLeft w:val="0"/>
      <w:marRight w:val="0"/>
      <w:marTop w:val="0"/>
      <w:marBottom w:val="0"/>
      <w:divBdr>
        <w:top w:val="none" w:sz="0" w:space="0" w:color="auto"/>
        <w:left w:val="none" w:sz="0" w:space="0" w:color="auto"/>
        <w:bottom w:val="none" w:sz="0" w:space="0" w:color="auto"/>
        <w:right w:val="none" w:sz="0" w:space="0" w:color="auto"/>
      </w:divBdr>
    </w:div>
    <w:div w:id="329069387">
      <w:bodyDiv w:val="1"/>
      <w:marLeft w:val="0"/>
      <w:marRight w:val="0"/>
      <w:marTop w:val="0"/>
      <w:marBottom w:val="0"/>
      <w:divBdr>
        <w:top w:val="none" w:sz="0" w:space="0" w:color="auto"/>
        <w:left w:val="none" w:sz="0" w:space="0" w:color="auto"/>
        <w:bottom w:val="none" w:sz="0" w:space="0" w:color="auto"/>
        <w:right w:val="none" w:sz="0" w:space="0" w:color="auto"/>
      </w:divBdr>
    </w:div>
    <w:div w:id="375815612">
      <w:bodyDiv w:val="1"/>
      <w:marLeft w:val="0"/>
      <w:marRight w:val="0"/>
      <w:marTop w:val="0"/>
      <w:marBottom w:val="0"/>
      <w:divBdr>
        <w:top w:val="none" w:sz="0" w:space="0" w:color="auto"/>
        <w:left w:val="none" w:sz="0" w:space="0" w:color="auto"/>
        <w:bottom w:val="none" w:sz="0" w:space="0" w:color="auto"/>
        <w:right w:val="none" w:sz="0" w:space="0" w:color="auto"/>
      </w:divBdr>
    </w:div>
    <w:div w:id="504634346">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686904912">
      <w:bodyDiv w:val="1"/>
      <w:marLeft w:val="0"/>
      <w:marRight w:val="0"/>
      <w:marTop w:val="0"/>
      <w:marBottom w:val="0"/>
      <w:divBdr>
        <w:top w:val="none" w:sz="0" w:space="0" w:color="auto"/>
        <w:left w:val="none" w:sz="0" w:space="0" w:color="auto"/>
        <w:bottom w:val="none" w:sz="0" w:space="0" w:color="auto"/>
        <w:right w:val="none" w:sz="0" w:space="0" w:color="auto"/>
      </w:divBdr>
    </w:div>
    <w:div w:id="743189838">
      <w:bodyDiv w:val="1"/>
      <w:marLeft w:val="0"/>
      <w:marRight w:val="0"/>
      <w:marTop w:val="0"/>
      <w:marBottom w:val="0"/>
      <w:divBdr>
        <w:top w:val="none" w:sz="0" w:space="0" w:color="auto"/>
        <w:left w:val="none" w:sz="0" w:space="0" w:color="auto"/>
        <w:bottom w:val="none" w:sz="0" w:space="0" w:color="auto"/>
        <w:right w:val="none" w:sz="0" w:space="0" w:color="auto"/>
      </w:divBdr>
    </w:div>
    <w:div w:id="784353358">
      <w:bodyDiv w:val="1"/>
      <w:marLeft w:val="0"/>
      <w:marRight w:val="0"/>
      <w:marTop w:val="0"/>
      <w:marBottom w:val="0"/>
      <w:divBdr>
        <w:top w:val="none" w:sz="0" w:space="0" w:color="auto"/>
        <w:left w:val="none" w:sz="0" w:space="0" w:color="auto"/>
        <w:bottom w:val="none" w:sz="0" w:space="0" w:color="auto"/>
        <w:right w:val="none" w:sz="0" w:space="0" w:color="auto"/>
      </w:divBdr>
    </w:div>
    <w:div w:id="1322347948">
      <w:bodyDiv w:val="1"/>
      <w:marLeft w:val="0"/>
      <w:marRight w:val="0"/>
      <w:marTop w:val="0"/>
      <w:marBottom w:val="0"/>
      <w:divBdr>
        <w:top w:val="none" w:sz="0" w:space="0" w:color="auto"/>
        <w:left w:val="none" w:sz="0" w:space="0" w:color="auto"/>
        <w:bottom w:val="none" w:sz="0" w:space="0" w:color="auto"/>
        <w:right w:val="none" w:sz="0" w:space="0" w:color="auto"/>
      </w:divBdr>
    </w:div>
    <w:div w:id="1345091418">
      <w:bodyDiv w:val="1"/>
      <w:marLeft w:val="0"/>
      <w:marRight w:val="0"/>
      <w:marTop w:val="0"/>
      <w:marBottom w:val="0"/>
      <w:divBdr>
        <w:top w:val="none" w:sz="0" w:space="0" w:color="auto"/>
        <w:left w:val="none" w:sz="0" w:space="0" w:color="auto"/>
        <w:bottom w:val="none" w:sz="0" w:space="0" w:color="auto"/>
        <w:right w:val="none" w:sz="0" w:space="0" w:color="auto"/>
      </w:divBdr>
    </w:div>
    <w:div w:id="1492016388">
      <w:bodyDiv w:val="1"/>
      <w:marLeft w:val="0"/>
      <w:marRight w:val="0"/>
      <w:marTop w:val="0"/>
      <w:marBottom w:val="0"/>
      <w:divBdr>
        <w:top w:val="none" w:sz="0" w:space="0" w:color="auto"/>
        <w:left w:val="none" w:sz="0" w:space="0" w:color="auto"/>
        <w:bottom w:val="none" w:sz="0" w:space="0" w:color="auto"/>
        <w:right w:val="none" w:sz="0" w:space="0" w:color="auto"/>
      </w:divBdr>
    </w:div>
    <w:div w:id="1504005330">
      <w:bodyDiv w:val="1"/>
      <w:marLeft w:val="0"/>
      <w:marRight w:val="0"/>
      <w:marTop w:val="0"/>
      <w:marBottom w:val="0"/>
      <w:divBdr>
        <w:top w:val="none" w:sz="0" w:space="0" w:color="auto"/>
        <w:left w:val="none" w:sz="0" w:space="0" w:color="auto"/>
        <w:bottom w:val="none" w:sz="0" w:space="0" w:color="auto"/>
        <w:right w:val="none" w:sz="0" w:space="0" w:color="auto"/>
      </w:divBdr>
    </w:div>
    <w:div w:id="1882747031">
      <w:bodyDiv w:val="1"/>
      <w:marLeft w:val="0"/>
      <w:marRight w:val="0"/>
      <w:marTop w:val="0"/>
      <w:marBottom w:val="0"/>
      <w:divBdr>
        <w:top w:val="none" w:sz="0" w:space="0" w:color="auto"/>
        <w:left w:val="none" w:sz="0" w:space="0" w:color="auto"/>
        <w:bottom w:val="none" w:sz="0" w:space="0" w:color="auto"/>
        <w:right w:val="none" w:sz="0" w:space="0" w:color="auto"/>
      </w:divBdr>
    </w:div>
    <w:div w:id="1916431315">
      <w:bodyDiv w:val="1"/>
      <w:marLeft w:val="0"/>
      <w:marRight w:val="0"/>
      <w:marTop w:val="0"/>
      <w:marBottom w:val="0"/>
      <w:divBdr>
        <w:top w:val="none" w:sz="0" w:space="0" w:color="auto"/>
        <w:left w:val="none" w:sz="0" w:space="0" w:color="auto"/>
        <w:bottom w:val="none" w:sz="0" w:space="0" w:color="auto"/>
        <w:right w:val="none" w:sz="0" w:space="0" w:color="auto"/>
      </w:divBdr>
    </w:div>
    <w:div w:id="1986467096">
      <w:bodyDiv w:val="1"/>
      <w:marLeft w:val="0"/>
      <w:marRight w:val="0"/>
      <w:marTop w:val="0"/>
      <w:marBottom w:val="0"/>
      <w:divBdr>
        <w:top w:val="none" w:sz="0" w:space="0" w:color="auto"/>
        <w:left w:val="none" w:sz="0" w:space="0" w:color="auto"/>
        <w:bottom w:val="none" w:sz="0" w:space="0" w:color="auto"/>
        <w:right w:val="none" w:sz="0" w:space="0" w:color="auto"/>
      </w:divBdr>
    </w:div>
    <w:div w:id="20710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F57A4-38EE-440D-9C90-79DF4A4A2C58}"/>
</file>

<file path=customXml/itemProps2.xml><?xml version="1.0" encoding="utf-8"?>
<ds:datastoreItem xmlns:ds="http://schemas.openxmlformats.org/officeDocument/2006/customXml" ds:itemID="{5B0261FE-0045-406A-95E1-E3AFDC7AD2CC}"/>
</file>

<file path=customXml/itemProps3.xml><?xml version="1.0" encoding="utf-8"?>
<ds:datastoreItem xmlns:ds="http://schemas.openxmlformats.org/officeDocument/2006/customXml" ds:itemID="{57E2A83F-72F7-483B-BD17-5BC37A5420B8}"/>
</file>

<file path=customXml/itemProps4.xml><?xml version="1.0" encoding="utf-8"?>
<ds:datastoreItem xmlns:ds="http://schemas.openxmlformats.org/officeDocument/2006/customXml" ds:itemID="{361EAF00-FD92-449C-BEA6-1EF941BC2614}"/>
</file>

<file path=docProps/app.xml><?xml version="1.0" encoding="utf-8"?>
<Properties xmlns="http://schemas.openxmlformats.org/officeDocument/2006/extended-properties" xmlns:vt="http://schemas.openxmlformats.org/officeDocument/2006/docPropsVTypes">
  <Template>Normal</Template>
  <TotalTime>4</TotalTime>
  <Pages>31</Pages>
  <Words>10500</Words>
  <Characters>59853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70213</CharactersWithSpaces>
  <SharedDoc>false</SharedDoc>
  <HLinks>
    <vt:vector size="114" baseType="variant">
      <vt:variant>
        <vt:i4>1638460</vt:i4>
      </vt:variant>
      <vt:variant>
        <vt:i4>110</vt:i4>
      </vt:variant>
      <vt:variant>
        <vt:i4>0</vt:i4>
      </vt:variant>
      <vt:variant>
        <vt:i4>5</vt:i4>
      </vt:variant>
      <vt:variant>
        <vt:lpwstr/>
      </vt:variant>
      <vt:variant>
        <vt:lpwstr>_Toc456985676</vt:lpwstr>
      </vt:variant>
      <vt:variant>
        <vt:i4>1638460</vt:i4>
      </vt:variant>
      <vt:variant>
        <vt:i4>104</vt:i4>
      </vt:variant>
      <vt:variant>
        <vt:i4>0</vt:i4>
      </vt:variant>
      <vt:variant>
        <vt:i4>5</vt:i4>
      </vt:variant>
      <vt:variant>
        <vt:lpwstr/>
      </vt:variant>
      <vt:variant>
        <vt:lpwstr>_Toc456985675</vt:lpwstr>
      </vt:variant>
      <vt:variant>
        <vt:i4>1638460</vt:i4>
      </vt:variant>
      <vt:variant>
        <vt:i4>98</vt:i4>
      </vt:variant>
      <vt:variant>
        <vt:i4>0</vt:i4>
      </vt:variant>
      <vt:variant>
        <vt:i4>5</vt:i4>
      </vt:variant>
      <vt:variant>
        <vt:lpwstr/>
      </vt:variant>
      <vt:variant>
        <vt:lpwstr>_Toc456985674</vt:lpwstr>
      </vt:variant>
      <vt:variant>
        <vt:i4>1638460</vt:i4>
      </vt:variant>
      <vt:variant>
        <vt:i4>92</vt:i4>
      </vt:variant>
      <vt:variant>
        <vt:i4>0</vt:i4>
      </vt:variant>
      <vt:variant>
        <vt:i4>5</vt:i4>
      </vt:variant>
      <vt:variant>
        <vt:lpwstr/>
      </vt:variant>
      <vt:variant>
        <vt:lpwstr>_Toc456985673</vt:lpwstr>
      </vt:variant>
      <vt:variant>
        <vt:i4>1638460</vt:i4>
      </vt:variant>
      <vt:variant>
        <vt:i4>86</vt:i4>
      </vt:variant>
      <vt:variant>
        <vt:i4>0</vt:i4>
      </vt:variant>
      <vt:variant>
        <vt:i4>5</vt:i4>
      </vt:variant>
      <vt:variant>
        <vt:lpwstr/>
      </vt:variant>
      <vt:variant>
        <vt:lpwstr>_Toc456985672</vt:lpwstr>
      </vt:variant>
      <vt:variant>
        <vt:i4>1638460</vt:i4>
      </vt:variant>
      <vt:variant>
        <vt:i4>80</vt:i4>
      </vt:variant>
      <vt:variant>
        <vt:i4>0</vt:i4>
      </vt:variant>
      <vt:variant>
        <vt:i4>5</vt:i4>
      </vt:variant>
      <vt:variant>
        <vt:lpwstr/>
      </vt:variant>
      <vt:variant>
        <vt:lpwstr>_Toc456985671</vt:lpwstr>
      </vt:variant>
      <vt:variant>
        <vt:i4>1638460</vt:i4>
      </vt:variant>
      <vt:variant>
        <vt:i4>74</vt:i4>
      </vt:variant>
      <vt:variant>
        <vt:i4>0</vt:i4>
      </vt:variant>
      <vt:variant>
        <vt:i4>5</vt:i4>
      </vt:variant>
      <vt:variant>
        <vt:lpwstr/>
      </vt:variant>
      <vt:variant>
        <vt:lpwstr>_Toc456985670</vt:lpwstr>
      </vt:variant>
      <vt:variant>
        <vt:i4>1572924</vt:i4>
      </vt:variant>
      <vt:variant>
        <vt:i4>68</vt:i4>
      </vt:variant>
      <vt:variant>
        <vt:i4>0</vt:i4>
      </vt:variant>
      <vt:variant>
        <vt:i4>5</vt:i4>
      </vt:variant>
      <vt:variant>
        <vt:lpwstr/>
      </vt:variant>
      <vt:variant>
        <vt:lpwstr>_Toc456985669</vt:lpwstr>
      </vt:variant>
      <vt:variant>
        <vt:i4>1572924</vt:i4>
      </vt:variant>
      <vt:variant>
        <vt:i4>62</vt:i4>
      </vt:variant>
      <vt:variant>
        <vt:i4>0</vt:i4>
      </vt:variant>
      <vt:variant>
        <vt:i4>5</vt:i4>
      </vt:variant>
      <vt:variant>
        <vt:lpwstr/>
      </vt:variant>
      <vt:variant>
        <vt:lpwstr>_Toc456985668</vt:lpwstr>
      </vt:variant>
      <vt:variant>
        <vt:i4>1572924</vt:i4>
      </vt:variant>
      <vt:variant>
        <vt:i4>56</vt:i4>
      </vt:variant>
      <vt:variant>
        <vt:i4>0</vt:i4>
      </vt:variant>
      <vt:variant>
        <vt:i4>5</vt:i4>
      </vt:variant>
      <vt:variant>
        <vt:lpwstr/>
      </vt:variant>
      <vt:variant>
        <vt:lpwstr>_Toc456985667</vt:lpwstr>
      </vt:variant>
      <vt:variant>
        <vt:i4>1572924</vt:i4>
      </vt:variant>
      <vt:variant>
        <vt:i4>50</vt:i4>
      </vt:variant>
      <vt:variant>
        <vt:i4>0</vt:i4>
      </vt:variant>
      <vt:variant>
        <vt:i4>5</vt:i4>
      </vt:variant>
      <vt:variant>
        <vt:lpwstr/>
      </vt:variant>
      <vt:variant>
        <vt:lpwstr>_Toc456985666</vt:lpwstr>
      </vt:variant>
      <vt:variant>
        <vt:i4>1572924</vt:i4>
      </vt:variant>
      <vt:variant>
        <vt:i4>44</vt:i4>
      </vt:variant>
      <vt:variant>
        <vt:i4>0</vt:i4>
      </vt:variant>
      <vt:variant>
        <vt:i4>5</vt:i4>
      </vt:variant>
      <vt:variant>
        <vt:lpwstr/>
      </vt:variant>
      <vt:variant>
        <vt:lpwstr>_Toc456985665</vt:lpwstr>
      </vt:variant>
      <vt:variant>
        <vt:i4>1572924</vt:i4>
      </vt:variant>
      <vt:variant>
        <vt:i4>38</vt:i4>
      </vt:variant>
      <vt:variant>
        <vt:i4>0</vt:i4>
      </vt:variant>
      <vt:variant>
        <vt:i4>5</vt:i4>
      </vt:variant>
      <vt:variant>
        <vt:lpwstr/>
      </vt:variant>
      <vt:variant>
        <vt:lpwstr>_Toc456985664</vt:lpwstr>
      </vt:variant>
      <vt:variant>
        <vt:i4>1572924</vt:i4>
      </vt:variant>
      <vt:variant>
        <vt:i4>32</vt:i4>
      </vt:variant>
      <vt:variant>
        <vt:i4>0</vt:i4>
      </vt:variant>
      <vt:variant>
        <vt:i4>5</vt:i4>
      </vt:variant>
      <vt:variant>
        <vt:lpwstr/>
      </vt:variant>
      <vt:variant>
        <vt:lpwstr>_Toc456985663</vt:lpwstr>
      </vt:variant>
      <vt:variant>
        <vt:i4>1572924</vt:i4>
      </vt:variant>
      <vt:variant>
        <vt:i4>26</vt:i4>
      </vt:variant>
      <vt:variant>
        <vt:i4>0</vt:i4>
      </vt:variant>
      <vt:variant>
        <vt:i4>5</vt:i4>
      </vt:variant>
      <vt:variant>
        <vt:lpwstr/>
      </vt:variant>
      <vt:variant>
        <vt:lpwstr>_Toc456985662</vt:lpwstr>
      </vt:variant>
      <vt:variant>
        <vt:i4>1572924</vt:i4>
      </vt:variant>
      <vt:variant>
        <vt:i4>20</vt:i4>
      </vt:variant>
      <vt:variant>
        <vt:i4>0</vt:i4>
      </vt:variant>
      <vt:variant>
        <vt:i4>5</vt:i4>
      </vt:variant>
      <vt:variant>
        <vt:lpwstr/>
      </vt:variant>
      <vt:variant>
        <vt:lpwstr>_Toc456985661</vt:lpwstr>
      </vt:variant>
      <vt:variant>
        <vt:i4>1572924</vt:i4>
      </vt:variant>
      <vt:variant>
        <vt:i4>14</vt:i4>
      </vt:variant>
      <vt:variant>
        <vt:i4>0</vt:i4>
      </vt:variant>
      <vt:variant>
        <vt:i4>5</vt:i4>
      </vt:variant>
      <vt:variant>
        <vt:lpwstr/>
      </vt:variant>
      <vt:variant>
        <vt:lpwstr>_Toc456985660</vt:lpwstr>
      </vt:variant>
      <vt:variant>
        <vt:i4>1769532</vt:i4>
      </vt:variant>
      <vt:variant>
        <vt:i4>8</vt:i4>
      </vt:variant>
      <vt:variant>
        <vt:i4>0</vt:i4>
      </vt:variant>
      <vt:variant>
        <vt:i4>5</vt:i4>
      </vt:variant>
      <vt:variant>
        <vt:lpwstr/>
      </vt:variant>
      <vt:variant>
        <vt:lpwstr>_Toc456985659</vt:lpwstr>
      </vt:variant>
      <vt:variant>
        <vt:i4>1769532</vt:i4>
      </vt:variant>
      <vt:variant>
        <vt:i4>2</vt:i4>
      </vt:variant>
      <vt:variant>
        <vt:i4>0</vt:i4>
      </vt:variant>
      <vt:variant>
        <vt:i4>5</vt:i4>
      </vt:variant>
      <vt:variant>
        <vt:lpwstr/>
      </vt:variant>
      <vt:variant>
        <vt:lpwstr>_Toc456985658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cp:lastModifiedBy>Elsabe Rossouw</cp:lastModifiedBy>
  <cp:revision>3</cp:revision>
  <cp:lastPrinted>2016-07-22T16:15:00Z</cp:lastPrinted>
  <dcterms:created xsi:type="dcterms:W3CDTF">2016-11-04T12:54:00Z</dcterms:created>
  <dcterms:modified xsi:type="dcterms:W3CDTF">2016-11-04T12:58:00Z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